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autoSpaceDN w:val="0"/>
        <w:spacing w:line="586" w:lineRule="exact"/>
        <w:ind w:right="420"/>
        <w:jc w:val="center"/>
        <w:rPr>
          <w:rFonts w:ascii="微软雅黑" w:hAnsi="微软雅黑" w:eastAsia="微软雅黑"/>
          <w:color w:val="000000"/>
          <w:sz w:val="24"/>
        </w:rPr>
      </w:pPr>
    </w:p>
    <w:p>
      <w:pPr>
        <w:autoSpaceDN w:val="0"/>
        <w:spacing w:line="586" w:lineRule="exact"/>
        <w:ind w:right="42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市农民合作社省级示范社监测情况报告</w:t>
      </w:r>
    </w:p>
    <w:p>
      <w:pPr>
        <w:spacing w:before="240" w:beforeLines="100" w:after="240" w:afterLines="100" w:line="586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（参考模板）</w:t>
      </w:r>
    </w:p>
    <w:p>
      <w:pPr>
        <w:spacing w:line="58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各市要对开展农民合作社省级示范社监测工作进行总结分析，主要包括以下内容:  </w:t>
      </w:r>
    </w:p>
    <w:p>
      <w:pPr>
        <w:spacing w:line="58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监测工作组织开展情况。    </w:t>
      </w:r>
    </w:p>
    <w:p>
      <w:pPr>
        <w:spacing w:line="58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2.监测合格的省级示范社情况，包括产业分布、内部制度和规范化建设、收益分配和带动农民增收、品牌建设等情况;     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3.监测不合格的省级示范社情况及原因分析。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85B3354-A855-4C89-B715-50EDC88D21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AA73EDB-217E-48A0-BF36-21035907B4C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D10E8E9-FBC1-4DDF-A773-E53E5BB6DA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DBD5115-5FF9-4E9C-BAAD-43338C6B00E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11DAD37-C13C-417F-9C4D-D30AC05C6D8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0D7C75C-2CFE-49B1-8B7B-09B1A5A694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0F2C1EED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A3F170E"/>
    <w:rsid w:val="0B431A6F"/>
    <w:rsid w:val="0C146D33"/>
    <w:rsid w:val="0C2C31A3"/>
    <w:rsid w:val="0D1E6F0C"/>
    <w:rsid w:val="0F2C1EED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5A7BBF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E8C3268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33581A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2022-09-13T02:48:00Z</dcterms:created>
  <dc:creator>任钰</dc:creator>
  <cp:lastModifiedBy>任钰</cp:lastModifiedBy>
  <dcterms:modified xsi:type="dcterms:W3CDTF">2022-09-13T02:49:14Z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B492EAC52BEF4E26B02D9A053508269C</vt:lpwstr>
  </property>
</Properties>
</file>