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outlineLvl w:val="0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附件9</w:t>
      </w: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2021年高产高效创建项目申报指南</w:t>
      </w:r>
    </w:p>
    <w:p>
      <w:pPr>
        <w:spacing w:line="586" w:lineRule="exact"/>
        <w:rPr>
          <w:rFonts w:ascii="黑体" w:hAnsi="黑体" w:eastAsia="黑体" w:cs="方正小标宋简体"/>
          <w:bCs/>
          <w:sz w:val="32"/>
          <w:szCs w:val="32"/>
        </w:rPr>
      </w:pP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一、粮油绿色增产增效项目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（一）目标任务</w:t>
      </w:r>
    </w:p>
    <w:p>
      <w:pPr>
        <w:pStyle w:val="4"/>
        <w:spacing w:after="0" w:line="586" w:lineRule="exact"/>
        <w:ind w:left="0" w:leftChars="0" w:firstLine="64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建设20个粮油绿色增产增效示范片（每片1000亩），其中小麦5个、玉米5个、杂粮9个、油料1个。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（二）实施区域</w:t>
      </w:r>
    </w:p>
    <w:p>
      <w:pPr>
        <w:spacing w:line="586" w:lineRule="exact"/>
        <w:ind w:firstLine="640" w:firstLineChars="200"/>
        <w:contextualSpacing/>
        <w:textAlignment w:val="baseline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小麦示范片实施区域为临汾市（2个）、运城市（3个）；玉米示范片实施区域为朔州市（1个）、忻州市（1个）、晋中市（1个）、长治市（1个）、运城市（1个）；杂粮示范片实施区域为大同市、朔州市、忻州市、吕梁市、阳泉市、太原市、晋中市、长治市、晋城市，每市建设1个；油料示范片实施区域为朔州市（1个）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（三）申报条件</w:t>
      </w:r>
    </w:p>
    <w:p>
      <w:pPr>
        <w:spacing w:line="586" w:lineRule="exact"/>
        <w:ind w:firstLine="643" w:firstLineChars="200"/>
        <w:contextualSpacing/>
        <w:textAlignment w:val="baseline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1.实施主体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由各项目县农业农村局、农技中心组织实施。</w:t>
      </w:r>
    </w:p>
    <w:p>
      <w:pPr>
        <w:spacing w:line="586" w:lineRule="exact"/>
        <w:ind w:firstLine="643" w:firstLineChars="200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2.项目县要求</w:t>
      </w:r>
    </w:p>
    <w:p>
      <w:pPr>
        <w:spacing w:line="586" w:lineRule="exact"/>
        <w:ind w:firstLine="480" w:firstLineChars="1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种植规模大，相对集中连片。申报项目的县，全县各作物的种植面积需满足以下条件（以近三年平均种植面积为准）：小麦面积20万亩以上；玉米面积30万亩以上；谷子面积3万亩以上，高粱面积3万亩以上，燕麦面积2万亩以上，荞麦面积1万亩以上，杂豆面积2万亩以上；油料2万亩以上。小麦、玉米、杂粮、油料为当地主导产业，并列入当地政府农业农村“十四五”发展规划。小麦、玉米、杂粮、油料产业有龙头企业带动，有著名品牌、驰名商标或认定的功能产品。优先支持连续几年承担部省级试验示范重点县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（四）补助标准</w:t>
      </w:r>
    </w:p>
    <w:p>
      <w:pPr>
        <w:spacing w:line="586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1、补助标准：每个示范片（1000亩）补助20万元，补助标准为200元/亩。</w:t>
      </w:r>
    </w:p>
    <w:p>
      <w:pPr>
        <w:spacing w:line="586" w:lineRule="exact"/>
        <w:ind w:firstLine="640" w:firstLineChars="200"/>
        <w:contextualSpacing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2、各支持环节资金比例：物化补助不得高于50%，生产服务补助不低于30%，其他方面补助不高于20%。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二、畜牧产业提升工程建设项目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（一）项目目标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鼓励推动养殖企业兽用抗菌药使用减量化，支持3家养殖企业开展兽用抗菌药使用减量化创建示范；组织3家饲料生产企业开展饲料质量安全规范管理和落实农业农村部194号公告示范企业创建；组织6家屠宰企业开展生猪屠宰标准化示范场建设；完成13个动物及动物产品进入我省指定道口建设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（二）实施区域</w:t>
      </w:r>
    </w:p>
    <w:p>
      <w:pPr>
        <w:pStyle w:val="9"/>
        <w:spacing w:line="586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兽用抗菌药使用减量化试点、饲料和饲料添加剂质量安全规范管理及落实农业农村部194号公告示范企业创建在全省范围内实施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生猪屠宰标准化示范场建设在朔州、晋中、临汾和运城实施。13个动物及动物产品进入我省指定道口建设，在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阳高县、右玉县、五台山风景名胜管理委员会、保德县、和顺县、黎城县、泽州县（2个）、柳林县、平定县、吉县、河津市、平陆县实施。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（三）申报条件</w:t>
      </w:r>
    </w:p>
    <w:p>
      <w:pPr>
        <w:spacing w:line="58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所申报项目为拟建或在建项目，实施主体</w:t>
      </w:r>
      <w:r>
        <w:rPr>
          <w:rFonts w:hint="eastAsia" w:ascii="仿宋_GB2312" w:hAnsi="仿宋" w:eastAsia="仿宋_GB2312" w:cs="仿宋"/>
          <w:sz w:val="32"/>
          <w:szCs w:val="32"/>
        </w:rPr>
        <w:t>必须遵守《畜牧法》《动物防疫法》《兽药管理条例》《饲料和饲料添加剂管理条例》《畜禽规模养殖污染防治条例》等相关法律法规，两年内无重大动物疫病和质量安全事件发生，</w:t>
      </w:r>
      <w:r>
        <w:rPr>
          <w:rFonts w:hint="eastAsia" w:ascii="仿宋" w:hAnsi="仿宋" w:eastAsia="仿宋" w:cs="仿宋"/>
          <w:sz w:val="32"/>
          <w:szCs w:val="32"/>
        </w:rPr>
        <w:t>项目受市、县政府重视。项目主体不得重复申报、多头申报，2019年之前承担的项目如未完成验收不得申报2021年项目。</w:t>
      </w:r>
    </w:p>
    <w:p>
      <w:pPr>
        <w:spacing w:line="58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兽用抗菌药使用减量化试点养殖场应在兽医诊疗条件、生物安全防护、抗菌药替代品使用和使用环节兽药二维码追溯等方面，达到农业农村部兽用抗菌药使用减量化效果评价标准。饲料和饲料添加剂质量安全规范管理和落实农业农村部194号公告示范企业应具备从原料采购、化验检测、生产加工、出厂销售全过程的饲料产品质量安全控制体系，饲料产品年产量10万吨（或饲料添加剂产品年产量1万吨）以上，全面落实农业农村部194号公告要求，达到《饲料质量安全管理规范》、《饲料添加剂安全使用规范》要求。生猪屠宰企业年实际屠宰能力需达到30万头以上。动物及动物产品进入我省指定道口为《山西省人民政府关于指定运输动物及动物产品入晋道口的通告》公布的阳高县东小村动卫生监督检查站等13个站点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b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（四）补助标准</w:t>
      </w:r>
    </w:p>
    <w:p>
      <w:pPr>
        <w:spacing w:line="586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养殖场兽用抗菌药使用减量化试点建设、饲料质量安全管理规范示范企业建设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、生猪</w:t>
      </w:r>
      <w:r>
        <w:rPr>
          <w:rFonts w:hint="eastAsia" w:ascii="仿宋" w:hAnsi="仿宋" w:eastAsia="仿宋" w:cs="仿宋"/>
          <w:sz w:val="32"/>
          <w:szCs w:val="32"/>
        </w:rPr>
        <w:t>屠宰标准化示范场建设，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省财政项目补助比例不超过当年</w:t>
      </w:r>
      <w:r>
        <w:rPr>
          <w:rFonts w:hint="eastAsia" w:ascii="仿宋" w:hAnsi="仿宋" w:eastAsia="仿宋" w:cs="仿宋"/>
          <w:sz w:val="32"/>
          <w:szCs w:val="32"/>
        </w:rPr>
        <w:t>投资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的30%，且补助金额最高不超过50万元。动物及动物产品进入我省指定</w:t>
      </w:r>
      <w:r>
        <w:rPr>
          <w:rFonts w:hint="eastAsia" w:ascii="仿宋" w:hAnsi="仿宋" w:eastAsia="仿宋" w:cs="仿宋"/>
          <w:sz w:val="32"/>
          <w:szCs w:val="32"/>
        </w:rPr>
        <w:t>道口建设，每个指定道口建设补助不少于30万元。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（五）支持环节</w:t>
      </w:r>
    </w:p>
    <w:p>
      <w:pPr>
        <w:spacing w:line="586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兽用抗菌药使用减量化试点建设。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重点支持兽药追溯信息系统及配套设备、兽医诊疗及化验设施设备购置、</w:t>
      </w:r>
      <w:r>
        <w:rPr>
          <w:rFonts w:hint="eastAsia" w:ascii="仿宋" w:hAnsi="仿宋" w:eastAsia="仿宋" w:cs="仿宋"/>
          <w:sz w:val="32"/>
          <w:szCs w:val="32"/>
        </w:rPr>
        <w:t>使用抗菌药替代品、</w:t>
      </w:r>
      <w:r>
        <w:rPr>
          <w:rFonts w:hint="eastAsia" w:ascii="仿宋_GB2312" w:hAnsi="仿宋_GB2312" w:eastAsia="仿宋_GB2312" w:cs="仿宋_GB2312"/>
          <w:sz w:val="32"/>
          <w:szCs w:val="32"/>
        </w:rPr>
        <w:t>生物安全防护设施设备建设等。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饲料质量安全管理规范示范企业建设。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重点支持基础设施改善、机械设备提升、化验室建设、饲料及饲料添加剂“无抗产品”研发、饲料产品质量安全控制和可追溯体系建设等。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畜禽屠宰标准化示范场建设。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重点支持生猪屠宰企业标准化设施设备改造、大型生猪养殖企业配套建设屠宰场设施设备升级改造等。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动物及动物产品进入我省指定道口建设。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重点支持我省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13个指定道口基础设施建设，信息监控系统、车牌识别系统建设，畜禽隔离消毒场所建设及运转等。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三、现代渔业建设项目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（一）目标任务</w:t>
      </w:r>
    </w:p>
    <w:p>
      <w:pPr>
        <w:spacing w:line="586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重点支持设施渔业建设、</w:t>
      </w:r>
      <w:r>
        <w:rPr>
          <w:rFonts w:hint="eastAsia" w:ascii="仿宋_GB2312" w:hAnsi="仿宋" w:eastAsia="仿宋_GB2312" w:cs="楷体"/>
          <w:sz w:val="32"/>
          <w:szCs w:val="32"/>
        </w:rPr>
        <w:t>现代水产种业提升工程、</w:t>
      </w:r>
      <w:r>
        <w:rPr>
          <w:rFonts w:hint="eastAsia" w:ascii="仿宋_GB2312" w:hAnsi="仿宋" w:eastAsia="仿宋_GB2312"/>
          <w:sz w:val="32"/>
          <w:szCs w:val="32"/>
        </w:rPr>
        <w:t>鱼菜共生</w:t>
      </w:r>
      <w:r>
        <w:rPr>
          <w:rFonts w:hint="eastAsia" w:ascii="仿宋_GB2312" w:hAnsi="仿宋" w:eastAsia="仿宋_GB2312" w:cs="楷体"/>
          <w:sz w:val="32"/>
          <w:szCs w:val="32"/>
        </w:rPr>
        <w:t>项目。</w:t>
      </w:r>
      <w:r>
        <w:rPr>
          <w:rFonts w:hint="eastAsia" w:ascii="仿宋_GB2312" w:hAnsi="仿宋" w:eastAsia="仿宋_GB2312"/>
          <w:sz w:val="32"/>
          <w:szCs w:val="32"/>
        </w:rPr>
        <w:t>支持</w:t>
      </w:r>
      <w:r>
        <w:rPr>
          <w:rFonts w:hint="eastAsia" w:ascii="仿宋_GB2312" w:hAnsi="仿宋" w:eastAsia="仿宋_GB2312" w:cs="楷体"/>
          <w:sz w:val="32"/>
          <w:szCs w:val="32"/>
        </w:rPr>
        <w:t>稻（莲）渔综合种养、湖库大水面生态渔业示范创建、渔业二三产业融合、</w:t>
      </w:r>
      <w:r>
        <w:rPr>
          <w:rFonts w:hint="eastAsia" w:ascii="仿宋_GB2312" w:hAnsi="仿宋" w:eastAsia="仿宋_GB2312" w:cs="Microsoft YaHei UI"/>
          <w:sz w:val="32"/>
          <w:szCs w:val="32"/>
          <w:shd w:val="clear" w:color="auto" w:fill="FFFFFF"/>
        </w:rPr>
        <w:t>名优特色水产品养殖</w:t>
      </w:r>
      <w:r>
        <w:rPr>
          <w:rFonts w:hint="eastAsia" w:ascii="仿宋_GB2312" w:hAnsi="仿宋" w:eastAsia="仿宋_GB2312" w:cs="楷体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水产品质量安全管理、珍稀物种保护、渔政渔船管理</w:t>
      </w:r>
      <w:r>
        <w:rPr>
          <w:rFonts w:hint="eastAsia" w:ascii="仿宋_GB2312" w:hAnsi="仿宋" w:eastAsia="仿宋_GB2312" w:cs="楷体"/>
          <w:sz w:val="32"/>
          <w:szCs w:val="32"/>
        </w:rPr>
        <w:t>等项目。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（二）设施渔业建设项目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1.建设要求：对现有池塘进行养殖尾水生态净化设施改造，完善进排水系统，建设养殖尾水生态净化设施，建设绿色渔业示范园区；发展以养殖尾水生态净化为基础的冷水鱼生态养殖；发展特色渔业，发展壮大地方生态水产品牌，开展水产健康养殖示范创建。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 xml:space="preserve">2.建设内容：支持进排水管路、电路、道路、生态护坡、池塘底部排污系统、人工湿地、生态净化塘建设；新型养殖捕捞设备、水质在线控制检测设备、远程在线监控设备购置；便携式水质监测设备配套；安全优质苗种、饲料、渔药购置；建立健全“三项记录”等。 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3.项目布局及申报条件：全省，突出运城市黄河滩涂。重点支持养殖水面集中连片且静水池塘养殖面积达到50亩以上，流水池塘养殖面积达到3亩以上的养殖单位，优先扶持部省级水产健康养殖示范场。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4.投资规模：单个项目财政支持不少于10万元，原则上不超过20万元。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（三）现代水产种业提升工程项目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1.建设要求：针对黄河鲤、黄河鳖、黄河鲶、赤眼鳟、乌苏里拟鲿、唇鱼骨、大鲵等我省特色土著鱼类品种，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zh-CN"/>
        </w:rPr>
        <w:t>建设土著鱼类繁育保护中心及种质资源库，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建设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  <w:lang w:val="zh-CN"/>
        </w:rPr>
        <w:t>土著鱼类人工繁育增殖站，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巩固完善省内现有水产原、良种场能力，开展水产种质资源场项目储备，提高养殖、增殖放流良种覆盖率。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2.建设内容：支持亲本池、苗种培育池等生产设施建设，配套进排水、电力、道路、动物无害化处理等工程；购置养殖设备、水质监测仪器设备、水处理设施设备；安全优质苗种、饲料、渔药购置等。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3.项目布局及申报条件：省内国家级、省级原良种场、有一定规模的种质保存基地。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4.投资规模：单个项目财政支持不少于10万元，原则上不超过20万元。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（四）鱼菜共生项目</w:t>
      </w:r>
    </w:p>
    <w:p>
      <w:pPr>
        <w:spacing w:line="586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1.建设要求：新建以养殖尾水资源化利用为核心的鱼菜共生循环水养殖大棚，依托龙头企业、专业合作社增强产业带动农民增收作用，推进我省设施渔业规模化发展、标准化建造、品牌化销售、产业化经营。</w:t>
      </w:r>
    </w:p>
    <w:p>
      <w:pPr>
        <w:spacing w:line="586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2.建设内容：支持环节为鱼菜共生连体大棚建设；生物净化与无土栽培设施设备建设购置；苗种、饲料购置等。</w:t>
      </w:r>
    </w:p>
    <w:p>
      <w:pPr>
        <w:spacing w:line="586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项目布局及申报条件：太原、晋中、运城、临汾等市各申报1个。建设主体必须为农业企业、农民专业合作社或家庭农场。项目用地必须有明晰稳定的土地权属，鱼菜共生大棚面积不低于1亩，棚内养殖水体不少于300m</w:t>
      </w:r>
      <w:r>
        <w:rPr>
          <w:rFonts w:hint="eastAsia" w:ascii="仿宋_GB2312" w:hAnsi="仿宋" w:eastAsia="仿宋_GB2312"/>
          <w:sz w:val="32"/>
          <w:szCs w:val="32"/>
          <w:vertAlign w:val="superscript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86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4.投资规模：单个项目财政支持上不少于20万元。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（五）其它项目</w:t>
      </w:r>
    </w:p>
    <w:p>
      <w:pPr>
        <w:spacing w:line="586" w:lineRule="exact"/>
        <w:ind w:firstLine="640" w:firstLineChars="200"/>
        <w:rPr>
          <w:rFonts w:ascii="仿宋_GB2312" w:hAnsi="仿宋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楷体"/>
          <w:sz w:val="32"/>
          <w:szCs w:val="32"/>
        </w:rPr>
        <w:t>稻（莲）渔综合种养</w:t>
      </w:r>
      <w:r>
        <w:rPr>
          <w:rFonts w:hint="eastAsia" w:ascii="仿宋_GB2312" w:hAnsi="仿宋" w:eastAsia="仿宋_GB2312"/>
          <w:sz w:val="32"/>
          <w:szCs w:val="32"/>
        </w:rPr>
        <w:t>项目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建设主体必须为农业企业、农民专业合作社或家庭农场、种养大户。对项目用地必须有明晰稳定的土地权属。建设规模连片面积不低于100亩。项目建成后必须种植水稻等粮食作物；</w:t>
      </w:r>
      <w:r>
        <w:rPr>
          <w:rFonts w:hint="eastAsia" w:ascii="仿宋_GB2312" w:hAnsi="仿宋" w:eastAsia="仿宋_GB2312" w:cs="楷体"/>
          <w:sz w:val="32"/>
          <w:szCs w:val="32"/>
        </w:rPr>
        <w:t>湖库大水面生态渔业示范创建项目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重点支持基础设施配套、新成果和新技术的推广，大水面生态渔业品牌培育，同时支持水库休闲观光渔业，创建国家级水库休闲渔业示范基地；</w:t>
      </w:r>
      <w:r>
        <w:rPr>
          <w:rFonts w:hint="eastAsia" w:ascii="仿宋_GB2312" w:hAnsi="仿宋" w:eastAsia="仿宋_GB2312" w:cs="楷体"/>
          <w:sz w:val="32"/>
          <w:szCs w:val="32"/>
        </w:rPr>
        <w:t>渔业二三产业融合项目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重点支持休闲观光设施建设、渔业基础设施改造、农产品产地初加工、产品流通和直供直销、农村电子商务、农业农村信息化、特色水产品品牌培育、水产品地理标志认证等；</w:t>
      </w:r>
      <w:r>
        <w:rPr>
          <w:rFonts w:hint="eastAsia" w:ascii="仿宋_GB2312" w:hAnsi="仿宋" w:eastAsia="仿宋_GB2312" w:cs="Microsoft YaHei UI"/>
          <w:sz w:val="32"/>
          <w:szCs w:val="32"/>
          <w:shd w:val="clear" w:color="auto" w:fill="FFFFFF"/>
        </w:rPr>
        <w:t>名优特色水产品养殖项目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重点支持养殖水面集中连片且静水池塘养殖面积达到50亩以上，流水池塘养殖面积达到3亩以上的养殖单位，优先扶持部省级水产健康养殖示范场；</w:t>
      </w:r>
      <w:r>
        <w:rPr>
          <w:rFonts w:hint="eastAsia" w:ascii="仿宋_GB2312" w:hAnsi="仿宋" w:eastAsia="仿宋_GB2312"/>
          <w:sz w:val="32"/>
          <w:szCs w:val="32"/>
        </w:rPr>
        <w:t>水产品质量安全及渔政渔船管理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项目重点支持</w:t>
      </w:r>
      <w:r>
        <w:rPr>
          <w:rFonts w:hint="eastAsia" w:ascii="仿宋_GB2312" w:hAnsi="仿宋" w:eastAsia="仿宋_GB2312"/>
          <w:sz w:val="32"/>
          <w:szCs w:val="32"/>
        </w:rPr>
        <w:t>支持市县农业农村部门开展水产品质量安全管理、渔业行政执法及渔船安全管理工作</w:t>
      </w:r>
      <w:r>
        <w:rPr>
          <w:rFonts w:hint="eastAsia" w:ascii="仿宋_GB2312" w:hAnsi="仿宋" w:eastAsia="仿宋_GB2312"/>
          <w:kern w:val="0"/>
          <w:sz w:val="32"/>
          <w:szCs w:val="32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珍稀物种保护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项目重点支持</w:t>
      </w:r>
      <w:r>
        <w:rPr>
          <w:rFonts w:hint="eastAsia" w:ascii="仿宋_GB2312" w:hAnsi="仿宋" w:eastAsia="仿宋_GB2312"/>
          <w:sz w:val="32"/>
          <w:szCs w:val="32"/>
        </w:rPr>
        <w:t>支持取得省级农业部门颁发的特种许可证、具备一定繁育条件和能力、设施面积不少于500平方米、注册资金不少于100万元的珍稀物种养殖民营企业</w:t>
      </w:r>
      <w:r>
        <w:rPr>
          <w:rFonts w:hint="eastAsia" w:ascii="仿宋_GB2312" w:hAnsi="仿宋" w:eastAsia="仿宋_GB2312"/>
          <w:kern w:val="0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单个项目财政支持不少于</w:t>
      </w:r>
      <w:r>
        <w:rPr>
          <w:rFonts w:hint="eastAsia" w:ascii="仿宋_GB2312" w:hAnsi="仿宋" w:eastAsia="仿宋_GB2312"/>
          <w:kern w:val="0"/>
          <w:sz w:val="32"/>
          <w:szCs w:val="32"/>
        </w:rPr>
        <w:t>10万元，原则上不超过</w:t>
      </w:r>
      <w:r>
        <w:rPr>
          <w:rFonts w:hint="eastAsia" w:ascii="仿宋_GB2312" w:hAnsi="仿宋" w:eastAsia="仿宋_GB2312" w:cs="仿宋_GB2312"/>
          <w:bCs/>
          <w:color w:val="000000"/>
          <w:sz w:val="32"/>
          <w:szCs w:val="32"/>
        </w:rPr>
        <w:t>20</w:t>
      </w:r>
      <w:r>
        <w:rPr>
          <w:rFonts w:hint="eastAsia" w:ascii="仿宋_GB2312" w:hAnsi="仿宋" w:eastAsia="仿宋_GB2312"/>
          <w:kern w:val="0"/>
          <w:sz w:val="32"/>
          <w:szCs w:val="32"/>
        </w:rPr>
        <w:t>万元。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粮油绿色增产增效项目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联系人及电话：贺晔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0351-8235139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邮箱：sxtgzz@126.com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畜牧产业提升项目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联系人及电话：郑晓静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0351-8235318</w:t>
      </w:r>
    </w:p>
    <w:p>
      <w:pPr>
        <w:spacing w:line="586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instrText xml:space="preserve"> HYPERLINK "mailto:sxxmsyj@126.com"</w:instrTex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sxxmsyj@126.com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现代渔业建设项目</w:t>
      </w:r>
    </w:p>
    <w:p>
      <w:pPr>
        <w:spacing w:line="586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联系人及电话：武 栋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王毅欣 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0351-4666328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邮箱:yuyework@163.com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973A32-2814-4DAE-837A-364B7AF612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051C7B4-B5E4-42EB-934F-C4A061331545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156B296-23E0-49E1-B47D-FD664D6E61D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E5C3873-2195-4610-BBF3-F25AAF8555C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9AD7A37-0DAA-4BDE-B31E-52FD03008CE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7001CA5-D69B-40E1-93BA-B26F7F890EB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7CBD0DAA-A450-4182-8526-0348A15F4561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8" w:fontKey="{8EA6156C-9648-4D50-97C4-C51B619010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52493"/>
    <w:rsid w:val="0CBE6A94"/>
    <w:rsid w:val="1B752493"/>
    <w:rsid w:val="46FA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  <w:style w:type="paragraph" w:customStyle="1" w:styleId="9">
    <w:name w:val="正文样式1"/>
    <w:basedOn w:val="1"/>
    <w:qFormat/>
    <w:uiPriority w:val="0"/>
    <w:pPr>
      <w:ind w:firstLine="641"/>
    </w:pPr>
    <w:rPr>
      <w:rFonts w:ascii="Times New Roman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2020-08-27T01:10:00Z</dcterms:created>
  <dc:creator>陈云鹏</dc:creator>
  <cp:lastModifiedBy>lenovo03</cp:lastModifiedBy>
  <dcterms:modified xsi:type="dcterms:W3CDTF">2020-09-01T03:16:33Z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