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6" w:lineRule="exact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32"/>
          <w:szCs w:val="32"/>
        </w:rPr>
        <w:t>附件10</w:t>
      </w:r>
    </w:p>
    <w:p>
      <w:pPr>
        <w:widowControl/>
        <w:spacing w:line="586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8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2021年药茶产业（东药材商贸平台）项目</w:t>
      </w:r>
    </w:p>
    <w:p>
      <w:pPr>
        <w:spacing w:line="586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申报指南</w:t>
      </w:r>
    </w:p>
    <w:p>
      <w:pPr>
        <w:widowControl/>
        <w:spacing w:line="586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586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一、目标任务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建设2万亩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药茶原料标准化生产示范基地，</w:t>
      </w:r>
      <w:r>
        <w:rPr>
          <w:rFonts w:hint="eastAsia" w:ascii="仿宋_GB2312" w:hAnsi="仿宋_GB2312" w:eastAsia="仿宋_GB2312" w:cs="仿宋_GB2312"/>
          <w:sz w:val="32"/>
          <w:szCs w:val="32"/>
        </w:rPr>
        <w:t>带动基地建设逐步向规范化、规模化发展；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培育药茶加工企业，提高产品质量，大力宣传推广山西药茶区域公用品牌，</w:t>
      </w:r>
      <w:r>
        <w:rPr>
          <w:rFonts w:hint="eastAsia" w:ascii="仿宋_GB2312" w:hAnsi="仿宋_GB2312" w:eastAsia="仿宋_GB2312" w:cs="仿宋_GB2312"/>
          <w:sz w:val="32"/>
          <w:szCs w:val="32"/>
        </w:rPr>
        <w:t>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山西药茶知名度有明显提升，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市场竞争力明显增强；完成中药材交易市场实体工程建设，推进东药材商贸平台建设。</w:t>
      </w:r>
    </w:p>
    <w:p>
      <w:pPr>
        <w:spacing w:line="586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二、实施区域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药茶产业项目在全省各市药茶生产重点县，东药材商贸平台建设项目主要在长治市和大同市有关县区。</w:t>
      </w:r>
    </w:p>
    <w:p>
      <w:pPr>
        <w:spacing w:line="586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三、申报条件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（一）药茶生产加工企业、合作社条件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1.申报药茶原料标准化示范基地的要有种植中药材2年以上经验。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2.具有3名以上中药材、药茶等相关专业中级职称的技术人员或者从事中药材、药茶相关工作3年以上的专业人员，财务管理规范，具备示范带动能力。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（二）药茶原料标准化示范基地条件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1.种植的药茶原料已有相关药茶产品，且在市场销售良好，发展潜力大。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在道地产区建设生态环境优良、基础设施完善、品种结构合理、良种良法配套、适应机械化作业和标准化管理、示范带动作用强的现代茶园式的药茶原料生产基地。创建标准参照《药茶原料标准化生产示范基地技术方案》执行。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3.大田种植规模在200亩以上，丘陵、山坡野生抚育面积在300亩以上，平原区要集中连片，地块数最多不超过3块，丘陵、山区要相对集中。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（三）区域公用品牌运营及创建条件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拥有山西药茶区域公用品牌运营的授权书，具备区域公用品牌运营的资质和能力。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b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（四）产地初加工及仓储条件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具有符合产地初加工及仓储的场地、设施设备和技术人员，年加工药茶50吨以上或中药材300吨以上的能力，有自筹资金的能力。</w:t>
      </w:r>
    </w:p>
    <w:p>
      <w:pPr>
        <w:spacing w:line="586" w:lineRule="exact"/>
        <w:ind w:firstLine="640" w:firstLineChars="200"/>
        <w:outlineLvl w:val="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四、项目重点环节及补助标准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（一）药茶原料标准化生产示范基地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支持种子种苗、推广应用标准化种植技术所需的生产物资、播种、采收机械（含采收机械的配套机器设备）的购置；基础设施建设补贴；质量追溯体系建设补贴；产地初加工设施和设备购置；技术培训和资料印刷等。每个基地补助50-100万元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（二）区域公用品牌运营及企业培育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1.区域公用品牌运营及创建。在各种媒体、场所投放广告，组织展览推介活动和品牌营销等方面给予补助。获得国家地理标志证明商标或发明专利的企业，给予一定的奖补。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2.科技研发。重点支持与科研院校、茶产业院士团队开展标准制定、功效评价、产品开发和品牌推广等方面的项目合作。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标准制定。对制定食品安全地方标准和申报新食品原料的药茶生产、研发企业或单位，每申报成功一个品种，一次性补助100万元，主要用于毒理试验和安全性评价等方面的研究。对牵头制定药茶生产加工工艺标准和药茶原料生产技术规程的单位，每颁布一个省级地方标准补助5万元。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4.产地初加工及仓储。改进产地初加工设备设施，提高产地初加工水平。在中药材、药茶晾晒场地、仓储设施、初加工设施、设备等方面给予补助。补助资金不超年度投资额的30%。</w:t>
      </w:r>
    </w:p>
    <w:p>
      <w:pPr>
        <w:spacing w:line="586" w:lineRule="exact"/>
        <w:ind w:firstLine="640"/>
        <w:outlineLvl w:val="1"/>
        <w:rPr>
          <w:rFonts w:ascii="楷体_GB2312" w:hAnsi="仿宋_GB2312" w:eastAsia="楷体_GB2312" w:cs="仿宋_GB2312"/>
          <w:sz w:val="32"/>
          <w:szCs w:val="32"/>
          <w:lang w:val="ru-RU"/>
        </w:rPr>
      </w:pPr>
      <w:r>
        <w:rPr>
          <w:rFonts w:hint="eastAsia" w:ascii="楷体_GB2312" w:hAnsi="仿宋_GB2312" w:eastAsia="楷体_GB2312" w:cs="仿宋_GB2312"/>
          <w:sz w:val="32"/>
          <w:szCs w:val="32"/>
          <w:lang w:val="ru-RU"/>
        </w:rPr>
        <w:t>（三）东药材商贸平台建设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中药材全产业链大数据平台。建设以长治为中心、辐射全省的中药材全产业链大数据平台，主要包括中药材基础数据、质量追溯、仓储物流检测、营销交易、价格分析预测等系统。补助资金不超年度投资额的30%。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2.中药材交易市场。建设长治和大同两个中药材交易市场，主要支持交易展销大厅、中药材标本展览馆等实体工程建设。补助资金不超过年度投资额的30%。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3.中药材质量检验检测中心。增设理化分析室等检验设施，购置检验检测设备等，建设省级中药材质量检验检测中心。补助资金不超过年度投资额的30%。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联系人及电话：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齐永红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13934504118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王俊斌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17710300718</w:t>
      </w:r>
    </w:p>
    <w:p>
      <w:pPr>
        <w:pStyle w:val="2"/>
        <w:spacing w:line="586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邮箱：sxsyccy@163.com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BAB505-C231-4FF4-A745-CC63992AEB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77C75AB-7F52-49D6-BA42-BDD05577FBFA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E4878AB-F218-4FC9-9B84-AB579C1A998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4" w:fontKey="{24EB0489-E04C-40CA-9796-B810DB1459A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08713F83-4380-4324-BA8D-82DF46588A6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221B8"/>
    <w:rsid w:val="1B1E382E"/>
    <w:rsid w:val="3C327144"/>
    <w:rsid w:val="5D9E7284"/>
    <w:rsid w:val="6552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paragraph" w:customStyle="1" w:styleId="5">
    <w:name w:val="No Spacing_ad81b47b-6779-4c76-b471-79375858c8cb"/>
    <w:basedOn w:val="1"/>
    <w:qFormat/>
    <w:uiPriority w:val="0"/>
    <w:pPr>
      <w:ind w:firstLine="200" w:firstLineChars="200"/>
    </w:pPr>
    <w:rPr>
      <w:rFonts w:ascii="Cambria" w:hAnsi="Cambr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2020-08-27T01:11:00Z</dcterms:created>
  <dc:creator>陈云鹏</dc:creator>
  <cp:lastModifiedBy>lenovo03</cp:lastModifiedBy>
  <dcterms:modified xsi:type="dcterms:W3CDTF">2020-09-01T03:24:25Z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