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spacing w:line="620" w:lineRule="exact"/>
        <w:jc w:val="both"/>
        <w:textAlignment w:val="auto"/>
        <w:rPr>
          <w:rFonts w:hint="eastAsia" w:ascii="黑体" w:hAnsi="黑体" w:eastAsia="黑体" w:cs="黑体"/>
          <w:b/>
          <w:bCs w:val="0"/>
          <w:snapToGrid w:val="0"/>
          <w:color w:val="auto"/>
          <w:kern w:val="0"/>
          <w:sz w:val="32"/>
          <w:szCs w:val="32"/>
          <w:lang w:val="en-US" w:eastAsia="zh-CN"/>
        </w:rPr>
      </w:pPr>
      <w:r>
        <w:rPr>
          <w:rFonts w:hint="eastAsia" w:ascii="黑体" w:hAnsi="黑体" w:eastAsia="黑体" w:cs="黑体"/>
          <w:bCs/>
          <w:snapToGrid w:val="0"/>
          <w:color w:val="auto"/>
          <w:kern w:val="0"/>
          <w:sz w:val="32"/>
          <w:szCs w:val="32"/>
          <w:lang w:val="en-US" w:eastAsia="zh-CN"/>
        </w:rPr>
        <w:t>附件1</w:t>
      </w:r>
    </w:p>
    <w:p>
      <w:pPr>
        <w:keepNext w:val="0"/>
        <w:keepLines w:val="0"/>
        <w:pageBreakBefore w:val="0"/>
        <w:widowControl w:val="0"/>
        <w:kinsoku/>
        <w:wordWrap w:val="0"/>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bCs/>
          <w:snapToGrid w:val="0"/>
          <w:color w:val="auto"/>
          <w:kern w:val="0"/>
          <w:sz w:val="44"/>
          <w:szCs w:val="44"/>
          <w:lang w:val="en-US" w:eastAsia="zh-CN"/>
        </w:rPr>
      </w:pPr>
    </w:p>
    <w:p>
      <w:pPr>
        <w:keepNext w:val="0"/>
        <w:keepLines w:val="0"/>
        <w:pageBreakBefore w:val="0"/>
        <w:widowControl w:val="0"/>
        <w:kinsoku/>
        <w:wordWrap w:val="0"/>
        <w:overflowPunct/>
        <w:topLinePunct w:val="0"/>
        <w:autoSpaceDE/>
        <w:autoSpaceDN/>
        <w:bidi w:val="0"/>
        <w:spacing w:line="590" w:lineRule="exact"/>
        <w:jc w:val="center"/>
        <w:textAlignment w:val="auto"/>
        <w:rPr>
          <w:rFonts w:hint="eastAsia" w:ascii="仿宋_GB2312" w:hAnsi="仿宋_GB2312" w:eastAsia="仿宋_GB2312" w:cs="仿宋_GB2312"/>
          <w:b w:val="0"/>
          <w:bCs/>
          <w:snapToGrid w:val="0"/>
          <w:color w:val="auto"/>
          <w:kern w:val="0"/>
          <w:sz w:val="44"/>
          <w:szCs w:val="44"/>
        </w:rPr>
      </w:pPr>
      <w:r>
        <w:rPr>
          <w:rFonts w:hint="eastAsia" w:ascii="方正小标宋简体" w:hAnsi="方正小标宋简体" w:eastAsia="方正小标宋简体" w:cs="方正小标宋简体"/>
          <w:b w:val="0"/>
          <w:bCs/>
          <w:snapToGrid w:val="0"/>
          <w:color w:val="auto"/>
          <w:kern w:val="0"/>
          <w:sz w:val="44"/>
          <w:szCs w:val="44"/>
        </w:rPr>
        <w:t>山西省现代农业产业技术体系建设方案</w:t>
      </w:r>
    </w:p>
    <w:p>
      <w:pPr>
        <w:keepNext w:val="0"/>
        <w:keepLines w:val="0"/>
        <w:pageBreakBefore w:val="0"/>
        <w:widowControl w:val="0"/>
        <w:kinsoku/>
        <w:wordWrap w:val="0"/>
        <w:overflowPunct/>
        <w:topLinePunct w:val="0"/>
        <w:autoSpaceDE/>
        <w:autoSpaceDN/>
        <w:bidi w:val="0"/>
        <w:spacing w:line="590" w:lineRule="exact"/>
        <w:ind w:left="0" w:firstLine="720" w:firstLineChars="200"/>
        <w:jc w:val="both"/>
        <w:textAlignment w:val="auto"/>
        <w:rPr>
          <w:rFonts w:hint="eastAsia" w:ascii="仿宋_GB2312" w:hAnsi="仿宋_GB2312" w:eastAsia="仿宋_GB2312" w:cs="仿宋_GB2312"/>
          <w:snapToGrid w:val="0"/>
          <w:color w:val="auto"/>
          <w:kern w:val="0"/>
          <w:sz w:val="36"/>
          <w:szCs w:val="36"/>
        </w:rPr>
      </w:pP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为提升我省农业科技创新能力，促进科技成果转化应用，强化科技对农业全产业链发展的支撑引领作用，根据我省实际，制定山西省现代农业产业技术体系建设方案。</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一、指导思想</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rPr>
        <w:t>贯彻落实习近平总书记“农业现代化关键是农业科技现代化”的指示精神，聚焦“特”“优”战略，以农业优势产业为主线，以特色农产品为重点，以重大技术协同推广为牵引，围绕产业链布局创新链，瞄准关键核心技术断点提供技术支撑，实现技术创新与产业发展有机结合、技术服务与产业需求有效对接，</w:t>
      </w:r>
      <w:r>
        <w:rPr>
          <w:rFonts w:hint="eastAsia" w:ascii="仿宋_GB2312" w:hAnsi="仿宋_GB2312" w:eastAsia="仿宋_GB2312" w:cs="仿宋_GB2312"/>
          <w:snapToGrid w:val="0"/>
          <w:color w:val="auto"/>
          <w:kern w:val="0"/>
          <w:sz w:val="32"/>
          <w:szCs w:val="32"/>
          <w:lang w:val="en-US" w:eastAsia="zh-CN"/>
        </w:rPr>
        <w:t>为全省提供示范引领，</w:t>
      </w:r>
      <w:r>
        <w:rPr>
          <w:rFonts w:hint="eastAsia" w:ascii="仿宋_GB2312" w:hAnsi="仿宋_GB2312" w:eastAsia="仿宋_GB2312" w:cs="仿宋_GB2312"/>
          <w:snapToGrid w:val="0"/>
          <w:color w:val="auto"/>
          <w:kern w:val="0"/>
          <w:sz w:val="32"/>
          <w:szCs w:val="32"/>
        </w:rPr>
        <w:t>为农业全产业链培育发展提供有力支撑。</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lang w:eastAsia="zh-CN"/>
        </w:rPr>
        <w:t>二、</w:t>
      </w:r>
      <w:r>
        <w:rPr>
          <w:rFonts w:hint="eastAsia" w:ascii="黑体" w:hAnsi="黑体" w:eastAsia="黑体" w:cs="黑体"/>
          <w:snapToGrid w:val="0"/>
          <w:color w:val="auto"/>
          <w:kern w:val="0"/>
          <w:sz w:val="32"/>
          <w:szCs w:val="32"/>
        </w:rPr>
        <w:t>基本原则</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rPr>
        <w:t>——</w:t>
      </w:r>
      <w:r>
        <w:rPr>
          <w:rFonts w:hint="eastAsia" w:ascii="仿宋_GB2312" w:hAnsi="仿宋_GB2312" w:eastAsia="仿宋_GB2312" w:cs="仿宋_GB2312"/>
          <w:b/>
          <w:bCs/>
          <w:snapToGrid w:val="0"/>
          <w:color w:val="auto"/>
          <w:kern w:val="0"/>
          <w:sz w:val="32"/>
          <w:szCs w:val="32"/>
          <w:lang w:val="en-US" w:eastAsia="zh-CN"/>
        </w:rPr>
        <w:t>坚持目标导向。</w:t>
      </w:r>
      <w:r>
        <w:rPr>
          <w:rFonts w:hint="eastAsia" w:ascii="仿宋_GB2312" w:hAnsi="仿宋_GB2312" w:eastAsia="仿宋_GB2312" w:cs="仿宋_GB2312"/>
          <w:snapToGrid w:val="0"/>
          <w:color w:val="auto"/>
          <w:kern w:val="0"/>
          <w:sz w:val="32"/>
          <w:szCs w:val="32"/>
          <w:lang w:eastAsia="zh-CN"/>
        </w:rPr>
        <w:t>围绕省委省政府重大战略部署，服务重大战略，服务重点工作，服务重要工程。</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rPr>
        <w:t>——</w:t>
      </w:r>
      <w:r>
        <w:rPr>
          <w:rFonts w:hint="eastAsia" w:ascii="仿宋_GB2312" w:hAnsi="仿宋_GB2312" w:eastAsia="仿宋_GB2312" w:cs="仿宋_GB2312"/>
          <w:b/>
          <w:bCs/>
          <w:snapToGrid w:val="0"/>
          <w:color w:val="auto"/>
          <w:kern w:val="0"/>
          <w:sz w:val="32"/>
          <w:szCs w:val="32"/>
          <w:lang w:val="en-US" w:eastAsia="zh-CN"/>
        </w:rPr>
        <w:t>坚持问题导向。</w:t>
      </w:r>
      <w:r>
        <w:rPr>
          <w:rFonts w:hint="eastAsia" w:ascii="仿宋_GB2312" w:hAnsi="仿宋_GB2312" w:eastAsia="仿宋_GB2312" w:cs="仿宋_GB2312"/>
          <w:snapToGrid w:val="0"/>
          <w:color w:val="auto"/>
          <w:kern w:val="0"/>
          <w:sz w:val="32"/>
          <w:szCs w:val="32"/>
          <w:lang w:val="en-US" w:eastAsia="zh-CN"/>
        </w:rPr>
        <w:t>找准制约产业发展的短板弱项，产业难题入科研课题，科研成果为产业服务，实现精准破题。</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spacing w:val="11"/>
          <w:kern w:val="0"/>
          <w:sz w:val="32"/>
          <w:szCs w:val="32"/>
          <w:lang w:val="en-US" w:eastAsia="zh-CN"/>
        </w:rPr>
      </w:pPr>
      <w:r>
        <w:rPr>
          <w:rFonts w:hint="eastAsia" w:ascii="仿宋_GB2312" w:hAnsi="仿宋_GB2312" w:eastAsia="仿宋_GB2312" w:cs="仿宋_GB2312"/>
          <w:b/>
          <w:bCs/>
          <w:snapToGrid w:val="0"/>
          <w:color w:val="auto"/>
          <w:kern w:val="0"/>
          <w:sz w:val="32"/>
          <w:szCs w:val="32"/>
        </w:rPr>
        <w:t>——</w:t>
      </w:r>
      <w:r>
        <w:rPr>
          <w:rFonts w:hint="eastAsia" w:ascii="仿宋_GB2312" w:hAnsi="仿宋_GB2312" w:eastAsia="仿宋_GB2312" w:cs="仿宋_GB2312"/>
          <w:b/>
          <w:bCs/>
          <w:snapToGrid w:val="0"/>
          <w:color w:val="auto"/>
          <w:kern w:val="0"/>
          <w:sz w:val="32"/>
          <w:szCs w:val="32"/>
          <w:lang w:val="en-US" w:eastAsia="zh-CN"/>
        </w:rPr>
        <w:t>坚持结果导向。</w:t>
      </w:r>
      <w:r>
        <w:rPr>
          <w:rFonts w:hint="eastAsia" w:ascii="仿宋_GB2312" w:hAnsi="仿宋_GB2312" w:eastAsia="仿宋_GB2312" w:cs="仿宋_GB2312"/>
          <w:snapToGrid w:val="0"/>
          <w:color w:val="auto"/>
          <w:spacing w:val="11"/>
          <w:kern w:val="0"/>
          <w:sz w:val="32"/>
          <w:szCs w:val="32"/>
          <w:lang w:val="en-US" w:eastAsia="zh-CN"/>
        </w:rPr>
        <w:t>把推动产业发展作为出发点落脚点，促进全环节提升、全链条增值、全产业融合，实现农业增效农民增收。</w:t>
      </w:r>
    </w:p>
    <w:p>
      <w:pPr>
        <w:pStyle w:val="2"/>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黑体" w:hAnsi="黑体" w:eastAsia="黑体" w:cs="黑体"/>
          <w:snapToGrid w:val="0"/>
          <w:color w:val="auto"/>
          <w:kern w:val="0"/>
          <w:sz w:val="32"/>
          <w:szCs w:val="32"/>
          <w:lang w:val="en-US" w:eastAsia="zh-CN" w:bidi="ar-SA"/>
        </w:rPr>
      </w:pPr>
      <w:r>
        <w:rPr>
          <w:rFonts w:hint="eastAsia" w:ascii="黑体" w:hAnsi="黑体" w:eastAsia="黑体" w:cs="黑体"/>
          <w:bCs/>
          <w:snapToGrid w:val="0"/>
          <w:color w:val="auto"/>
          <w:kern w:val="0"/>
          <w:sz w:val="32"/>
          <w:szCs w:val="32"/>
        </w:rPr>
        <w:t>三、</w:t>
      </w:r>
      <w:r>
        <w:rPr>
          <w:rFonts w:hint="eastAsia" w:ascii="黑体" w:hAnsi="黑体" w:eastAsia="黑体" w:cs="黑体"/>
          <w:snapToGrid w:val="0"/>
          <w:color w:val="auto"/>
          <w:kern w:val="0"/>
          <w:sz w:val="32"/>
          <w:szCs w:val="32"/>
          <w:lang w:val="en-US" w:eastAsia="zh-CN" w:bidi="ar-SA"/>
        </w:rPr>
        <w:t>目标任务</w:t>
      </w:r>
    </w:p>
    <w:p>
      <w:pPr>
        <w:pStyle w:val="2"/>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rPr>
        <w:t>（一）基本目标</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依托具有创新优势的科研力量和科技资源，建设从产地到餐桌、从生产到消费、从研发到市场</w:t>
      </w:r>
      <w:r>
        <w:rPr>
          <w:rFonts w:hint="eastAsia" w:ascii="仿宋_GB2312" w:hAnsi="仿宋_GB2312" w:eastAsia="仿宋_GB2312" w:cs="仿宋_GB2312"/>
          <w:snapToGrid w:val="0"/>
          <w:color w:val="auto"/>
          <w:kern w:val="0"/>
          <w:sz w:val="32"/>
          <w:szCs w:val="32"/>
          <w:lang w:eastAsia="zh-CN"/>
        </w:rPr>
        <w:t>“粮头食尾、农头工尾”</w:t>
      </w:r>
      <w:r>
        <w:rPr>
          <w:rFonts w:hint="eastAsia" w:ascii="仿宋_GB2312" w:hAnsi="仿宋_GB2312" w:eastAsia="仿宋_GB2312" w:cs="仿宋_GB2312"/>
          <w:snapToGrid w:val="0"/>
          <w:color w:val="auto"/>
          <w:kern w:val="0"/>
          <w:sz w:val="32"/>
          <w:szCs w:val="32"/>
        </w:rPr>
        <w:t>各个环节紧密衔接、环环相扣、服务农业全产业链发展的现代农业产业技术体系。</w:t>
      </w:r>
    </w:p>
    <w:p>
      <w:pPr>
        <w:pStyle w:val="2"/>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rPr>
        <w:t>（二）主要任务</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围绕全产业链发展需求，积聚优质资源，进行共性技术和关键核心技术研究、集成、试验和示范；收集、分析产业及其技术发展动态与信息，系统开展产业技术发展规划和产业经济政策研究，为政府决策提供咨询</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向社会提供信息和技术服务。</w:t>
      </w:r>
    </w:p>
    <w:p>
      <w:pPr>
        <w:pStyle w:val="2"/>
        <w:keepNext w:val="0"/>
        <w:keepLines w:val="0"/>
        <w:pageBreakBefore w:val="0"/>
        <w:widowControl w:val="0"/>
        <w:kinsoku/>
        <w:wordWrap w:val="0"/>
        <w:overflowPunct/>
        <w:topLinePunct w:val="0"/>
        <w:autoSpaceDE/>
        <w:autoSpaceDN/>
        <w:bidi w:val="0"/>
        <w:spacing w:line="590" w:lineRule="exact"/>
        <w:ind w:left="0" w:firstLine="723" w:firstLineChars="200"/>
        <w:jc w:val="both"/>
        <w:textAlignment w:val="auto"/>
        <w:rPr>
          <w:rFonts w:hint="eastAsia" w:ascii="楷体_GB2312" w:hAnsi="楷体_GB2312" w:eastAsia="楷体_GB2312" w:cs="楷体_GB2312"/>
          <w:b/>
          <w:bCs/>
          <w:snapToGrid w:val="0"/>
          <w:color w:val="auto"/>
          <w:kern w:val="0"/>
          <w:sz w:val="36"/>
          <w:szCs w:val="36"/>
        </w:rPr>
      </w:pPr>
      <w:r>
        <w:rPr>
          <w:rFonts w:hint="eastAsia" w:ascii="楷体_GB2312" w:hAnsi="楷体_GB2312" w:eastAsia="楷体_GB2312" w:cs="楷体_GB2312"/>
          <w:b/>
          <w:bCs/>
          <w:snapToGrid w:val="0"/>
          <w:color w:val="auto"/>
          <w:kern w:val="0"/>
          <w:sz w:val="36"/>
          <w:szCs w:val="36"/>
        </w:rPr>
        <w:t>（三）工作职责</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1.衔接国家产业技术体系，承接国家体系工作任务及创新成果，发挥国家体系对我省现代农业发展的带动和辐射作用；</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2.围绕产业发展亟待解决的问题，</w:t>
      </w:r>
      <w:r>
        <w:rPr>
          <w:rFonts w:hint="eastAsia" w:ascii="仿宋_GB2312" w:hAnsi="仿宋_GB2312" w:eastAsia="仿宋_GB2312" w:cs="仿宋_GB2312"/>
          <w:snapToGrid w:val="0"/>
          <w:color w:val="auto"/>
          <w:kern w:val="0"/>
          <w:sz w:val="32"/>
          <w:szCs w:val="32"/>
          <w:lang w:eastAsia="zh-CN"/>
        </w:rPr>
        <w:t>凝练关键技术和共性技术创新重点任务，</w:t>
      </w:r>
      <w:r>
        <w:rPr>
          <w:rFonts w:hint="eastAsia" w:ascii="仿宋_GB2312" w:hAnsi="仿宋_GB2312" w:eastAsia="仿宋_GB2312" w:cs="仿宋_GB2312"/>
          <w:snapToGrid w:val="0"/>
          <w:color w:val="auto"/>
          <w:kern w:val="0"/>
          <w:sz w:val="32"/>
          <w:szCs w:val="32"/>
        </w:rPr>
        <w:t>组织开展攻关、集成、试验示范和推广应用；</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spacing w:val="6"/>
          <w:kern w:val="0"/>
          <w:sz w:val="32"/>
          <w:szCs w:val="32"/>
        </w:rPr>
      </w:pPr>
      <w:r>
        <w:rPr>
          <w:rFonts w:hint="eastAsia"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spacing w:val="6"/>
          <w:kern w:val="0"/>
          <w:sz w:val="32"/>
          <w:szCs w:val="32"/>
        </w:rPr>
        <w:t>承担事关产业持续发展的基础性、前瞻性和应急性技术攻关工作；</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spacing w:val="6"/>
          <w:kern w:val="0"/>
          <w:sz w:val="32"/>
          <w:szCs w:val="32"/>
        </w:rPr>
      </w:pPr>
      <w:r>
        <w:rPr>
          <w:rFonts w:hint="eastAsia" w:ascii="仿宋_GB2312" w:hAnsi="仿宋_GB2312" w:eastAsia="仿宋_GB2312" w:cs="仿宋_GB2312"/>
          <w:snapToGrid w:val="0"/>
          <w:color w:val="auto"/>
          <w:kern w:val="0"/>
          <w:sz w:val="32"/>
          <w:szCs w:val="32"/>
        </w:rPr>
        <w:t>4.</w:t>
      </w:r>
      <w:r>
        <w:rPr>
          <w:rFonts w:hint="eastAsia" w:ascii="仿宋_GB2312" w:hAnsi="仿宋_GB2312" w:eastAsia="仿宋_GB2312" w:cs="仿宋_GB2312"/>
          <w:snapToGrid w:val="0"/>
          <w:color w:val="auto"/>
          <w:spacing w:val="6"/>
          <w:kern w:val="0"/>
          <w:sz w:val="32"/>
          <w:szCs w:val="32"/>
        </w:rPr>
        <w:t>开展生产调研，为政府决策、产业发展提供咨询和信息服务，对产业市场风险、重大灾情和突发性问题提出技术建议和应对措施；</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5.遴选新技术新品种，提出年度主推技术和主导品种；</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6.组织开展产业技术宣传、培训和推广服务，强化与基层农技推广体系的衔接与配合；</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7.组织相关学术活动，促进本产业人才培养和团队建设；</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8.为晋中国家农高区（山西农谷）科技创新提供支撑和服务。</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9.完成省农业农村厅安排的其它任务。</w:t>
      </w:r>
    </w:p>
    <w:p>
      <w:pPr>
        <w:keepNext w:val="0"/>
        <w:keepLines w:val="0"/>
        <w:pageBreakBefore w:val="0"/>
        <w:widowControl w:val="0"/>
        <w:kinsoku/>
        <w:wordWrap w:val="0"/>
        <w:overflowPunct/>
        <w:topLinePunct w:val="0"/>
        <w:autoSpaceDE/>
        <w:autoSpaceDN/>
        <w:bidi w:val="0"/>
        <w:adjustRightInd w:val="0"/>
        <w:snapToGrid w:val="0"/>
        <w:spacing w:line="590" w:lineRule="exact"/>
        <w:ind w:left="0" w:firstLine="640" w:firstLineChars="200"/>
        <w:jc w:val="both"/>
        <w:textAlignment w:val="auto"/>
        <w:rPr>
          <w:rFonts w:hint="eastAsia" w:ascii="黑体" w:hAnsi="黑体" w:eastAsia="黑体" w:cs="黑体"/>
          <w:snapToGrid w:val="0"/>
          <w:color w:val="auto"/>
          <w:kern w:val="0"/>
          <w:sz w:val="32"/>
          <w:szCs w:val="32"/>
          <w:shd w:val="clear" w:color="auto" w:fill="FFFFFF"/>
        </w:rPr>
      </w:pPr>
      <w:r>
        <w:rPr>
          <w:rFonts w:hint="eastAsia" w:ascii="黑体" w:hAnsi="黑体" w:eastAsia="黑体" w:cs="黑体"/>
          <w:snapToGrid w:val="0"/>
          <w:color w:val="auto"/>
          <w:kern w:val="0"/>
          <w:sz w:val="32"/>
          <w:szCs w:val="32"/>
        </w:rPr>
        <w:t>四、体系架构</w:t>
      </w:r>
    </w:p>
    <w:p>
      <w:pPr>
        <w:pStyle w:val="2"/>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rPr>
        <w:t>（一）体系设置</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实施农业“特”“优”战略，重点建设玉米、小麦、杂粮、谷子、油料、马铃薯、</w:t>
      </w:r>
      <w:r>
        <w:rPr>
          <w:rFonts w:hint="eastAsia" w:ascii="仿宋_GB2312" w:hAnsi="仿宋_GB2312" w:eastAsia="仿宋_GB2312" w:cs="仿宋_GB2312"/>
          <w:snapToGrid w:val="0"/>
          <w:color w:val="auto"/>
          <w:kern w:val="0"/>
          <w:sz w:val="32"/>
          <w:szCs w:val="32"/>
          <w:lang w:val="en-US" w:eastAsia="zh-CN"/>
        </w:rPr>
        <w:t>果树</w:t>
      </w:r>
      <w:r>
        <w:rPr>
          <w:rFonts w:hint="eastAsia" w:ascii="仿宋_GB2312" w:hAnsi="仿宋_GB2312" w:eastAsia="仿宋_GB2312" w:cs="仿宋_GB2312"/>
          <w:snapToGrid w:val="0"/>
          <w:color w:val="auto"/>
          <w:kern w:val="0"/>
          <w:sz w:val="32"/>
          <w:szCs w:val="32"/>
        </w:rPr>
        <w:t>、蔬菜、食用菌、中药材</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药茶</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、猪、鸡、牛、羊、渔业、牧草、功能食品等17个现代农业产业技术体系。</w:t>
      </w:r>
    </w:p>
    <w:p>
      <w:pPr>
        <w:pStyle w:val="2"/>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rPr>
        <w:t>（二）岗位设置</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围绕全产业链全环节全过程设置产业技术体系岗位。每个产业技术体系设置首席专家、副首席专家与岗位专家。</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1.首席专家。</w:t>
      </w:r>
      <w:r>
        <w:rPr>
          <w:rFonts w:hint="eastAsia" w:ascii="仿宋_GB2312" w:hAnsi="仿宋_GB2312" w:eastAsia="仿宋_GB2312" w:cs="仿宋_GB2312"/>
          <w:snapToGrid w:val="0"/>
          <w:color w:val="auto"/>
          <w:kern w:val="0"/>
          <w:sz w:val="32"/>
          <w:szCs w:val="32"/>
        </w:rPr>
        <w:t>每个产业技术体系设置首席专家1名，由省内学术领域有突出建树、技术推广有突出成就、科研攻关有创新团队的权威专家担任，负责体系全面工作。首席专家所在工作单位挂产业技术体系牌子，为该体系建设依托单位。</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2.副首席专家。</w:t>
      </w:r>
      <w:r>
        <w:rPr>
          <w:rFonts w:hint="eastAsia" w:ascii="仿宋_GB2312" w:hAnsi="仿宋_GB2312" w:eastAsia="仿宋_GB2312" w:cs="仿宋_GB2312"/>
          <w:snapToGrid w:val="0"/>
          <w:color w:val="auto"/>
          <w:kern w:val="0"/>
          <w:sz w:val="32"/>
          <w:szCs w:val="32"/>
        </w:rPr>
        <w:t>每个产业技术体系设置科研、推广副首席专家2—3名，协助首席专家开展相关工作。</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3.岗位专家。</w:t>
      </w:r>
      <w:r>
        <w:rPr>
          <w:rFonts w:hint="eastAsia" w:ascii="仿宋_GB2312" w:hAnsi="仿宋_GB2312" w:eastAsia="仿宋_GB2312" w:cs="仿宋_GB2312"/>
          <w:snapToGrid w:val="0"/>
          <w:color w:val="auto"/>
          <w:kern w:val="0"/>
          <w:sz w:val="32"/>
          <w:szCs w:val="32"/>
        </w:rPr>
        <w:t>每个产业技术体系按照产业发展需求设置岗位专家10—20名左右。种植业类设置育种、栽培土肥</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植保</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智能农机</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加工</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产业经济等岗位</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养殖业类设置育种、营养饲料</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防疫</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智能装备</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加工</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产业经济等岗位。</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4.专家顾问组。</w:t>
      </w:r>
      <w:r>
        <w:rPr>
          <w:rFonts w:hint="eastAsia" w:ascii="仿宋_GB2312" w:hAnsi="仿宋_GB2312" w:eastAsia="仿宋_GB2312" w:cs="仿宋_GB2312"/>
          <w:snapToGrid w:val="0"/>
          <w:color w:val="auto"/>
          <w:kern w:val="0"/>
          <w:sz w:val="32"/>
          <w:szCs w:val="32"/>
        </w:rPr>
        <w:t>聘请行业权威专家和国家、省级产业技术体系老专家组成产业技术体系专家顾问组，对产业技术体系建设、目标任务、运行机制等进行指导。</w:t>
      </w:r>
    </w:p>
    <w:p>
      <w:pPr>
        <w:pStyle w:val="2"/>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rPr>
        <w:t>（三）机构设置</w:t>
      </w:r>
    </w:p>
    <w:p>
      <w:pPr>
        <w:keepNext w:val="0"/>
        <w:keepLines w:val="0"/>
        <w:pageBreakBefore w:val="0"/>
        <w:widowControl w:val="0"/>
        <w:kinsoku/>
        <w:wordWrap w:val="0"/>
        <w:overflowPunct/>
        <w:topLinePunct w:val="0"/>
        <w:autoSpaceDE/>
        <w:autoSpaceDN/>
        <w:bidi w:val="0"/>
        <w:spacing w:line="590" w:lineRule="exact"/>
        <w:ind w:left="0" w:firstLine="596" w:firstLineChars="200"/>
        <w:jc w:val="both"/>
        <w:textAlignment w:val="auto"/>
        <w:rPr>
          <w:rFonts w:hint="eastAsia" w:ascii="仿宋_GB2312" w:hAnsi="仿宋_GB2312" w:eastAsia="仿宋_GB2312" w:cs="仿宋_GB2312"/>
          <w:snapToGrid w:val="0"/>
          <w:color w:val="auto"/>
          <w:spacing w:val="-11"/>
          <w:kern w:val="0"/>
          <w:sz w:val="32"/>
          <w:szCs w:val="32"/>
        </w:rPr>
      </w:pPr>
      <w:r>
        <w:rPr>
          <w:rFonts w:hint="eastAsia" w:ascii="仿宋_GB2312" w:hAnsi="仿宋_GB2312" w:eastAsia="仿宋_GB2312" w:cs="仿宋_GB2312"/>
          <w:snapToGrid w:val="0"/>
          <w:color w:val="auto"/>
          <w:spacing w:val="-11"/>
          <w:kern w:val="0"/>
          <w:sz w:val="32"/>
          <w:szCs w:val="32"/>
        </w:rPr>
        <w:t>每个产业技术体系设置首席专家工作室和综合</w:t>
      </w:r>
      <w:r>
        <w:rPr>
          <w:rFonts w:hint="eastAsia" w:ascii="仿宋_GB2312" w:hAnsi="仿宋_GB2312" w:eastAsia="仿宋_GB2312" w:cs="仿宋_GB2312"/>
          <w:snapToGrid w:val="0"/>
          <w:color w:val="auto"/>
          <w:spacing w:val="-11"/>
          <w:kern w:val="0"/>
          <w:sz w:val="32"/>
          <w:szCs w:val="32"/>
          <w:lang w:eastAsia="zh-CN"/>
        </w:rPr>
        <w:t>推广</w:t>
      </w:r>
      <w:r>
        <w:rPr>
          <w:rFonts w:hint="eastAsia" w:ascii="仿宋_GB2312" w:hAnsi="仿宋_GB2312" w:eastAsia="仿宋_GB2312" w:cs="仿宋_GB2312"/>
          <w:snapToGrid w:val="0"/>
          <w:color w:val="auto"/>
          <w:spacing w:val="-11"/>
          <w:kern w:val="0"/>
          <w:sz w:val="32"/>
          <w:szCs w:val="32"/>
        </w:rPr>
        <w:t>站两个层级。</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1.首席专家工作室。</w:t>
      </w:r>
      <w:r>
        <w:rPr>
          <w:rFonts w:hint="eastAsia" w:ascii="仿宋_GB2312" w:hAnsi="仿宋_GB2312" w:eastAsia="仿宋_GB2312" w:cs="仿宋_GB2312"/>
          <w:snapToGrid w:val="0"/>
          <w:color w:val="auto"/>
          <w:kern w:val="0"/>
          <w:sz w:val="32"/>
          <w:szCs w:val="32"/>
        </w:rPr>
        <w:t>每个产业链以首席专家名字命名1个工</w:t>
      </w:r>
      <w:bookmarkStart w:id="0" w:name="_GoBack"/>
      <w:bookmarkEnd w:id="0"/>
      <w:r>
        <w:rPr>
          <w:rFonts w:hint="eastAsia" w:ascii="仿宋_GB2312" w:hAnsi="仿宋_GB2312" w:eastAsia="仿宋_GB2312" w:cs="仿宋_GB2312"/>
          <w:snapToGrid w:val="0"/>
          <w:color w:val="auto"/>
          <w:kern w:val="0"/>
          <w:sz w:val="32"/>
          <w:szCs w:val="32"/>
        </w:rPr>
        <w:t>作室，依托首席专家所在的研究、教育机构重点实验室、工程技术研究中心等科研平台建设（不作为法人单位），在太谷国家现代农业科技创新中心优先布局。主要任务是开展技术应用研究和技术集成，收集、分析产业及其技术发展动态与信息，开展产业政策研究与咨询。</w:t>
      </w:r>
    </w:p>
    <w:p>
      <w:pPr>
        <w:keepNext w:val="0"/>
        <w:keepLines w:val="0"/>
        <w:pageBreakBefore w:val="0"/>
        <w:widowControl w:val="0"/>
        <w:kinsoku/>
        <w:wordWrap w:val="0"/>
        <w:overflowPunct/>
        <w:topLinePunct w:val="0"/>
        <w:autoSpaceDE/>
        <w:autoSpaceDN/>
        <w:bidi w:val="0"/>
        <w:spacing w:line="590" w:lineRule="exact"/>
        <w:ind w:left="0" w:firstLine="643"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bCs/>
          <w:snapToGrid w:val="0"/>
          <w:color w:val="auto"/>
          <w:kern w:val="0"/>
          <w:sz w:val="32"/>
          <w:szCs w:val="32"/>
        </w:rPr>
        <w:t>2.综合</w:t>
      </w:r>
      <w:r>
        <w:rPr>
          <w:rFonts w:hint="eastAsia" w:ascii="仿宋_GB2312" w:hAnsi="仿宋_GB2312" w:eastAsia="仿宋_GB2312" w:cs="仿宋_GB2312"/>
          <w:b/>
          <w:bCs/>
          <w:snapToGrid w:val="0"/>
          <w:color w:val="auto"/>
          <w:kern w:val="0"/>
          <w:sz w:val="32"/>
          <w:szCs w:val="32"/>
          <w:lang w:eastAsia="zh-CN"/>
        </w:rPr>
        <w:t>推广</w:t>
      </w:r>
      <w:r>
        <w:rPr>
          <w:rFonts w:hint="eastAsia" w:ascii="仿宋_GB2312" w:hAnsi="仿宋_GB2312" w:eastAsia="仿宋_GB2312" w:cs="仿宋_GB2312"/>
          <w:b/>
          <w:bCs/>
          <w:snapToGrid w:val="0"/>
          <w:color w:val="auto"/>
          <w:kern w:val="0"/>
          <w:sz w:val="32"/>
          <w:szCs w:val="32"/>
        </w:rPr>
        <w:t>站。</w:t>
      </w:r>
      <w:r>
        <w:rPr>
          <w:rFonts w:hint="eastAsia" w:ascii="仿宋_GB2312" w:hAnsi="仿宋_GB2312" w:eastAsia="仿宋_GB2312" w:cs="仿宋_GB2312"/>
          <w:snapToGrid w:val="0"/>
          <w:color w:val="auto"/>
          <w:kern w:val="0"/>
          <w:sz w:val="32"/>
          <w:szCs w:val="32"/>
        </w:rPr>
        <w:t>每个产业技术体系依据任务需要，设置3-</w:t>
      </w:r>
      <w:r>
        <w:rPr>
          <w:rFonts w:hint="eastAsia" w:ascii="仿宋_GB2312" w:hAnsi="仿宋_GB2312" w:eastAsia="仿宋_GB2312" w:cs="仿宋_GB2312"/>
          <w:snapToGrid w:val="0"/>
          <w:color w:val="auto"/>
          <w:kern w:val="0"/>
          <w:sz w:val="32"/>
          <w:szCs w:val="32"/>
          <w:lang w:val="en-US" w:eastAsia="zh-CN"/>
        </w:rPr>
        <w:t>7</w:t>
      </w:r>
      <w:r>
        <w:rPr>
          <w:rFonts w:hint="eastAsia" w:ascii="仿宋_GB2312" w:hAnsi="仿宋_GB2312" w:eastAsia="仿宋_GB2312" w:cs="仿宋_GB2312"/>
          <w:snapToGrid w:val="0"/>
          <w:color w:val="auto"/>
          <w:kern w:val="0"/>
          <w:sz w:val="32"/>
          <w:szCs w:val="32"/>
        </w:rPr>
        <w:t>个综合</w:t>
      </w:r>
      <w:r>
        <w:rPr>
          <w:rFonts w:hint="eastAsia" w:ascii="仿宋_GB2312" w:hAnsi="仿宋_GB2312" w:eastAsia="仿宋_GB2312" w:cs="仿宋_GB2312"/>
          <w:snapToGrid w:val="0"/>
          <w:color w:val="auto"/>
          <w:kern w:val="0"/>
          <w:sz w:val="32"/>
          <w:szCs w:val="32"/>
          <w:lang w:eastAsia="zh-CN"/>
        </w:rPr>
        <w:t>推广</w:t>
      </w:r>
      <w:r>
        <w:rPr>
          <w:rFonts w:hint="eastAsia" w:ascii="仿宋_GB2312" w:hAnsi="仿宋_GB2312" w:eastAsia="仿宋_GB2312" w:cs="仿宋_GB2312"/>
          <w:snapToGrid w:val="0"/>
          <w:color w:val="auto"/>
          <w:kern w:val="0"/>
          <w:sz w:val="32"/>
          <w:szCs w:val="32"/>
        </w:rPr>
        <w:t>站。在国家农业现代化科技先行县、现代农业示范区、现代农业产业园、产业大县和“链主”企业优先布局。主要任务是开展产业综合集成技术的示范、推广，培训产业技术人员、开展技术服务，调查、收集生产实际问题与技术需求信息，监测分析疫情、灾情等动态变化。</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五、管理体制</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产业技术体系实行省农业农村厅行政</w:t>
      </w:r>
      <w:r>
        <w:rPr>
          <w:rFonts w:hint="eastAsia" w:ascii="仿宋_GB2312" w:hAnsi="仿宋_GB2312" w:eastAsia="仿宋_GB2312" w:cs="仿宋_GB2312"/>
          <w:snapToGrid w:val="0"/>
          <w:color w:val="auto"/>
          <w:kern w:val="0"/>
          <w:sz w:val="32"/>
          <w:szCs w:val="32"/>
          <w:lang w:eastAsia="zh-CN"/>
        </w:rPr>
        <w:t>领</w:t>
      </w:r>
      <w:r>
        <w:rPr>
          <w:rFonts w:hint="eastAsia" w:ascii="仿宋_GB2312" w:hAnsi="仿宋_GB2312" w:eastAsia="仿宋_GB2312" w:cs="仿宋_GB2312"/>
          <w:snapToGrid w:val="0"/>
          <w:color w:val="auto"/>
          <w:kern w:val="0"/>
          <w:sz w:val="32"/>
          <w:szCs w:val="32"/>
        </w:rPr>
        <w:t>导下的首席专家负责制。省农业农村厅成立现代农业产业技术体系管理咨委员会，负责审议现代农业产业技术体系发展规划和分年度计划，对产业技术体系建设运行情况及首席专家履职情况进行考核、监督指导。管理咨询委员会由产业行政管理、财务管理、农业科研管理、农业技术推广等</w:t>
      </w:r>
      <w:r>
        <w:rPr>
          <w:rFonts w:hint="eastAsia" w:ascii="仿宋_GB2312" w:hAnsi="仿宋_GB2312" w:eastAsia="仿宋_GB2312" w:cs="仿宋_GB2312"/>
          <w:snapToGrid w:val="0"/>
          <w:color w:val="auto"/>
          <w:kern w:val="0"/>
          <w:sz w:val="32"/>
          <w:szCs w:val="32"/>
          <w:lang w:eastAsia="zh-CN"/>
        </w:rPr>
        <w:t>部门</w:t>
      </w:r>
      <w:r>
        <w:rPr>
          <w:rFonts w:hint="eastAsia" w:ascii="仿宋_GB2312" w:hAnsi="仿宋_GB2312" w:eastAsia="仿宋_GB2312" w:cs="仿宋_GB2312"/>
          <w:snapToGrid w:val="0"/>
          <w:color w:val="auto"/>
          <w:kern w:val="0"/>
          <w:sz w:val="32"/>
          <w:szCs w:val="32"/>
        </w:rPr>
        <w:t>组成。首席专家根据产业发展需要组建科研团队，提出副首席、岗位专家、综合</w:t>
      </w:r>
      <w:r>
        <w:rPr>
          <w:rFonts w:hint="eastAsia" w:ascii="仿宋_GB2312" w:hAnsi="仿宋_GB2312" w:eastAsia="仿宋_GB2312" w:cs="仿宋_GB2312"/>
          <w:snapToGrid w:val="0"/>
          <w:color w:val="auto"/>
          <w:kern w:val="0"/>
          <w:sz w:val="32"/>
          <w:szCs w:val="32"/>
          <w:lang w:eastAsia="zh-CN"/>
        </w:rPr>
        <w:t>推广</w:t>
      </w:r>
      <w:r>
        <w:rPr>
          <w:rFonts w:hint="eastAsia" w:ascii="仿宋_GB2312" w:hAnsi="仿宋_GB2312" w:eastAsia="仿宋_GB2312" w:cs="仿宋_GB2312"/>
          <w:snapToGrid w:val="0"/>
          <w:color w:val="auto"/>
          <w:kern w:val="0"/>
          <w:sz w:val="32"/>
          <w:szCs w:val="32"/>
        </w:rPr>
        <w:t>站设置办法，由管理咨询委员会按程序予以确认。</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首席专家</w:t>
      </w:r>
      <w:r>
        <w:rPr>
          <w:rFonts w:hint="eastAsia" w:ascii="仿宋_GB2312" w:hAnsi="仿宋_GB2312" w:eastAsia="仿宋_GB2312" w:cs="仿宋_GB2312"/>
          <w:snapToGrid w:val="0"/>
          <w:color w:val="auto"/>
          <w:kern w:val="0"/>
          <w:sz w:val="32"/>
          <w:szCs w:val="32"/>
          <w:lang w:eastAsia="zh-CN"/>
        </w:rPr>
        <w:t>通过</w:t>
      </w:r>
      <w:r>
        <w:rPr>
          <w:rFonts w:hint="eastAsia" w:ascii="仿宋_GB2312" w:hAnsi="仿宋_GB2312" w:eastAsia="仿宋_GB2312" w:cs="仿宋_GB2312"/>
          <w:snapToGrid w:val="0"/>
          <w:color w:val="auto"/>
          <w:kern w:val="0"/>
          <w:sz w:val="32"/>
          <w:szCs w:val="32"/>
        </w:rPr>
        <w:t>竞选竞聘产生，负责本体系组织运行管理。首席专家根据本产业技术研发需求、现有科技资源基础条件、创新能力</w:t>
      </w:r>
      <w:r>
        <w:rPr>
          <w:rFonts w:hint="eastAsia" w:ascii="仿宋_GB2312" w:hAnsi="仿宋_GB2312" w:eastAsia="仿宋_GB2312" w:cs="仿宋_GB2312"/>
          <w:snapToGrid w:val="0"/>
          <w:color w:val="auto"/>
          <w:kern w:val="0"/>
          <w:sz w:val="32"/>
          <w:szCs w:val="32"/>
          <w:lang w:eastAsia="zh-CN"/>
        </w:rPr>
        <w:t>、人才储备</w:t>
      </w:r>
      <w:r>
        <w:rPr>
          <w:rFonts w:hint="eastAsia" w:ascii="仿宋_GB2312" w:hAnsi="仿宋_GB2312" w:eastAsia="仿宋_GB2312" w:cs="仿宋_GB2312"/>
          <w:snapToGrid w:val="0"/>
          <w:color w:val="auto"/>
          <w:kern w:val="0"/>
          <w:sz w:val="32"/>
          <w:szCs w:val="32"/>
        </w:rPr>
        <w:t>等因素，提出副首席与岗位专家设置的</w:t>
      </w:r>
      <w:r>
        <w:rPr>
          <w:rFonts w:hint="eastAsia" w:ascii="仿宋_GB2312" w:hAnsi="仿宋_GB2312" w:eastAsia="仿宋_GB2312" w:cs="仿宋_GB2312"/>
          <w:snapToGrid w:val="0"/>
          <w:color w:val="auto"/>
          <w:kern w:val="0"/>
          <w:sz w:val="32"/>
          <w:szCs w:val="32"/>
          <w:lang w:eastAsia="zh-CN"/>
        </w:rPr>
        <w:t>类别</w:t>
      </w:r>
      <w:r>
        <w:rPr>
          <w:rFonts w:hint="eastAsia" w:ascii="仿宋_GB2312" w:hAnsi="仿宋_GB2312" w:eastAsia="仿宋_GB2312" w:cs="仿宋_GB2312"/>
          <w:snapToGrid w:val="0"/>
          <w:color w:val="auto"/>
          <w:kern w:val="0"/>
          <w:sz w:val="32"/>
          <w:szCs w:val="32"/>
        </w:rPr>
        <w:t>、数量、条件、职责和人选建议。经管理咨询委员会审议同意，分管厅长审核，厅长审定。首席专家提出本产业综合</w:t>
      </w:r>
      <w:r>
        <w:rPr>
          <w:rFonts w:hint="eastAsia" w:ascii="仿宋_GB2312" w:hAnsi="仿宋_GB2312" w:eastAsia="仿宋_GB2312" w:cs="仿宋_GB2312"/>
          <w:snapToGrid w:val="0"/>
          <w:color w:val="auto"/>
          <w:kern w:val="0"/>
          <w:sz w:val="32"/>
          <w:szCs w:val="32"/>
          <w:lang w:eastAsia="zh-CN"/>
        </w:rPr>
        <w:t>推广</w:t>
      </w:r>
      <w:r>
        <w:rPr>
          <w:rFonts w:hint="eastAsia" w:ascii="仿宋_GB2312" w:hAnsi="仿宋_GB2312" w:eastAsia="仿宋_GB2312" w:cs="仿宋_GB2312"/>
          <w:snapToGrid w:val="0"/>
          <w:color w:val="auto"/>
          <w:kern w:val="0"/>
          <w:sz w:val="32"/>
          <w:szCs w:val="32"/>
        </w:rPr>
        <w:t>站设置的地点、数量等建议，经管理咨询委员会审议同意，分管厅长审核，厅长审定。</w:t>
      </w:r>
    </w:p>
    <w:p>
      <w:pPr>
        <w:keepNext w:val="0"/>
        <w:keepLines w:val="0"/>
        <w:pageBreakBefore w:val="0"/>
        <w:widowControl w:val="0"/>
        <w:kinsoku/>
        <w:wordWrap w:val="0"/>
        <w:overflowPunct/>
        <w:topLinePunct w:val="0"/>
        <w:autoSpaceDE/>
        <w:autoSpaceDN/>
        <w:bidi w:val="0"/>
        <w:spacing w:line="590" w:lineRule="exact"/>
        <w:ind w:left="0" w:firstLine="616" w:firstLineChars="200"/>
        <w:jc w:val="both"/>
        <w:textAlignment w:val="auto"/>
        <w:rPr>
          <w:rFonts w:hint="eastAsia" w:ascii="仿宋_GB2312" w:hAnsi="仿宋_GB2312" w:eastAsia="仿宋_GB2312" w:cs="仿宋_GB2312"/>
          <w:snapToGrid w:val="0"/>
          <w:color w:val="auto"/>
          <w:spacing w:val="-6"/>
          <w:kern w:val="0"/>
          <w:sz w:val="32"/>
          <w:szCs w:val="32"/>
        </w:rPr>
      </w:pPr>
      <w:r>
        <w:rPr>
          <w:rFonts w:hint="eastAsia" w:ascii="仿宋_GB2312" w:hAnsi="仿宋_GB2312" w:eastAsia="仿宋_GB2312" w:cs="仿宋_GB2312"/>
          <w:snapToGrid w:val="0"/>
          <w:color w:val="auto"/>
          <w:spacing w:val="-6"/>
          <w:kern w:val="0"/>
          <w:sz w:val="32"/>
          <w:szCs w:val="32"/>
        </w:rPr>
        <w:t>副首席专家、岗位专家对首席专家负责，与首席专家签定岗位研究任务合同，协助首席专家开展工作，按时完成本岗位承担的科研、试验、示范</w:t>
      </w:r>
      <w:r>
        <w:rPr>
          <w:rFonts w:hint="eastAsia" w:ascii="仿宋_GB2312" w:hAnsi="仿宋_GB2312" w:eastAsia="仿宋_GB2312" w:cs="仿宋_GB2312"/>
          <w:snapToGrid w:val="0"/>
          <w:color w:val="auto"/>
          <w:spacing w:val="-6"/>
          <w:kern w:val="0"/>
          <w:sz w:val="32"/>
          <w:szCs w:val="32"/>
          <w:lang w:eastAsia="zh-CN"/>
        </w:rPr>
        <w:t>、推广</w:t>
      </w:r>
      <w:r>
        <w:rPr>
          <w:rFonts w:hint="eastAsia" w:ascii="仿宋_GB2312" w:hAnsi="仿宋_GB2312" w:eastAsia="仿宋_GB2312" w:cs="仿宋_GB2312"/>
          <w:snapToGrid w:val="0"/>
          <w:color w:val="auto"/>
          <w:spacing w:val="-6"/>
          <w:kern w:val="0"/>
          <w:sz w:val="32"/>
          <w:szCs w:val="32"/>
        </w:rPr>
        <w:t>任务，并及时向首席专家汇报进展情况。</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六、运行机制</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现代农业产业技术体系每</w:t>
      </w:r>
      <w:r>
        <w:rPr>
          <w:rFonts w:hint="eastAsia" w:ascii="仿宋_GB2312" w:hAnsi="仿宋_GB2312" w:eastAsia="仿宋_GB2312" w:cs="仿宋_GB2312"/>
          <w:snapToGrid w:val="0"/>
          <w:color w:val="auto"/>
          <w:kern w:val="0"/>
          <w:sz w:val="32"/>
          <w:szCs w:val="32"/>
          <w:lang w:val="en-US" w:eastAsia="zh-CN"/>
        </w:rPr>
        <w:t>5</w:t>
      </w:r>
      <w:r>
        <w:rPr>
          <w:rFonts w:hint="eastAsia" w:ascii="仿宋_GB2312" w:hAnsi="仿宋_GB2312" w:eastAsia="仿宋_GB2312" w:cs="仿宋_GB2312"/>
          <w:snapToGrid w:val="0"/>
          <w:color w:val="auto"/>
          <w:kern w:val="0"/>
          <w:sz w:val="32"/>
          <w:szCs w:val="32"/>
        </w:rPr>
        <w:t>年为一个周期，分为任务确定、任务执行和绩效评价三个环节。</w:t>
      </w:r>
    </w:p>
    <w:p>
      <w:pPr>
        <w:pStyle w:val="2"/>
        <w:keepNext w:val="0"/>
        <w:keepLines w:val="0"/>
        <w:pageBreakBefore w:val="0"/>
        <w:widowControl w:val="0"/>
        <w:kinsoku/>
        <w:wordWrap w:val="0"/>
        <w:overflowPunct/>
        <w:topLinePunct w:val="0"/>
        <w:autoSpaceDE/>
        <w:autoSpaceDN/>
        <w:bidi w:val="0"/>
        <w:adjustRightInd/>
        <w:snapToGrid/>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rPr>
        <w:t>（一）明确任务</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每个周期开始前，由首席专家组织本体系人员，对接国家体系科研任务，全面调查征集本产业技术用户技术需求，系统梳理本产业链关键核心技术断点，提出本产业技术体系</w:t>
      </w:r>
      <w:r>
        <w:rPr>
          <w:rFonts w:hint="eastAsia" w:ascii="仿宋_GB2312" w:hAnsi="仿宋_GB2312" w:eastAsia="仿宋_GB2312" w:cs="仿宋_GB2312"/>
          <w:snapToGrid w:val="0"/>
          <w:color w:val="auto"/>
          <w:kern w:val="0"/>
          <w:sz w:val="32"/>
          <w:szCs w:val="32"/>
          <w:lang w:val="en-US" w:eastAsia="zh-CN"/>
        </w:rPr>
        <w:t>5</w:t>
      </w:r>
      <w:r>
        <w:rPr>
          <w:rFonts w:hint="eastAsia" w:ascii="仿宋_GB2312" w:hAnsi="仿宋_GB2312" w:eastAsia="仿宋_GB2312" w:cs="仿宋_GB2312"/>
          <w:snapToGrid w:val="0"/>
          <w:color w:val="auto"/>
          <w:kern w:val="0"/>
          <w:sz w:val="32"/>
          <w:szCs w:val="32"/>
        </w:rPr>
        <w:t>年任务规划及分年度计划，报管理咨询委员会审议后，省农业农村厅与体系首席专家签订任务书。</w:t>
      </w:r>
    </w:p>
    <w:p>
      <w:pPr>
        <w:pStyle w:val="2"/>
        <w:keepNext w:val="0"/>
        <w:keepLines w:val="0"/>
        <w:pageBreakBefore w:val="0"/>
        <w:widowControl w:val="0"/>
        <w:kinsoku/>
        <w:wordWrap w:val="0"/>
        <w:overflowPunct/>
        <w:topLinePunct w:val="0"/>
        <w:autoSpaceDE/>
        <w:autoSpaceDN/>
        <w:bidi w:val="0"/>
        <w:adjustRightInd/>
        <w:snapToGrid/>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lang w:eastAsia="zh-CN"/>
        </w:rPr>
        <w:t>（</w:t>
      </w:r>
      <w:r>
        <w:rPr>
          <w:rFonts w:hint="eastAsia" w:ascii="楷体_GB2312" w:hAnsi="楷体_GB2312" w:eastAsia="楷体_GB2312" w:cs="楷体_GB2312"/>
          <w:b/>
          <w:bCs/>
          <w:snapToGrid w:val="0"/>
          <w:color w:val="auto"/>
          <w:kern w:val="0"/>
          <w:sz w:val="32"/>
          <w:szCs w:val="32"/>
          <w:lang w:val="en-US" w:eastAsia="zh-CN"/>
        </w:rPr>
        <w:t>二</w:t>
      </w:r>
      <w:r>
        <w:rPr>
          <w:rFonts w:hint="eastAsia" w:ascii="楷体_GB2312" w:hAnsi="楷体_GB2312" w:eastAsia="楷体_GB2312" w:cs="楷体_GB2312"/>
          <w:b/>
          <w:bCs/>
          <w:snapToGrid w:val="0"/>
          <w:color w:val="auto"/>
          <w:kern w:val="0"/>
          <w:sz w:val="32"/>
          <w:szCs w:val="32"/>
          <w:lang w:eastAsia="zh-CN"/>
        </w:rPr>
        <w:t>）</w:t>
      </w:r>
      <w:r>
        <w:rPr>
          <w:rFonts w:hint="eastAsia" w:ascii="楷体_GB2312" w:hAnsi="楷体_GB2312" w:eastAsia="楷体_GB2312" w:cs="楷体_GB2312"/>
          <w:b/>
          <w:bCs/>
          <w:snapToGrid w:val="0"/>
          <w:color w:val="auto"/>
          <w:kern w:val="0"/>
          <w:sz w:val="32"/>
          <w:szCs w:val="32"/>
        </w:rPr>
        <w:t>任务执行</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根据任务书，首席专家组织制订任务分解和具体实施方案，经体系专家共同讨论后，将任务落实到每个岗位专家和综合</w:t>
      </w:r>
      <w:r>
        <w:rPr>
          <w:rFonts w:hint="eastAsia" w:ascii="仿宋_GB2312" w:hAnsi="仿宋_GB2312" w:eastAsia="仿宋_GB2312" w:cs="仿宋_GB2312"/>
          <w:snapToGrid w:val="0"/>
          <w:color w:val="auto"/>
          <w:kern w:val="0"/>
          <w:sz w:val="32"/>
          <w:szCs w:val="32"/>
          <w:lang w:eastAsia="zh-CN"/>
        </w:rPr>
        <w:t>推广</w:t>
      </w:r>
      <w:r>
        <w:rPr>
          <w:rFonts w:hint="eastAsia" w:ascii="仿宋_GB2312" w:hAnsi="仿宋_GB2312" w:eastAsia="仿宋_GB2312" w:cs="仿宋_GB2312"/>
          <w:snapToGrid w:val="0"/>
          <w:color w:val="auto"/>
          <w:kern w:val="0"/>
          <w:sz w:val="32"/>
          <w:szCs w:val="32"/>
        </w:rPr>
        <w:t>站，并组织实施。执行过程中，各体系针对产业发展中的重要问题，向相关部门（单位）提出支持立项建议。综合</w:t>
      </w:r>
      <w:r>
        <w:rPr>
          <w:rFonts w:hint="eastAsia" w:ascii="仿宋_GB2312" w:hAnsi="仿宋_GB2312" w:eastAsia="仿宋_GB2312" w:cs="仿宋_GB2312"/>
          <w:snapToGrid w:val="0"/>
          <w:color w:val="auto"/>
          <w:kern w:val="0"/>
          <w:sz w:val="32"/>
          <w:szCs w:val="32"/>
          <w:lang w:eastAsia="zh-CN"/>
        </w:rPr>
        <w:t>推广</w:t>
      </w:r>
      <w:r>
        <w:rPr>
          <w:rFonts w:hint="eastAsia" w:ascii="仿宋_GB2312" w:hAnsi="仿宋_GB2312" w:eastAsia="仿宋_GB2312" w:cs="仿宋_GB2312"/>
          <w:snapToGrid w:val="0"/>
          <w:color w:val="auto"/>
          <w:kern w:val="0"/>
          <w:sz w:val="32"/>
          <w:szCs w:val="32"/>
        </w:rPr>
        <w:t>站收集、分析和整理本区域生产实际问题、技术需求信息和疫情、灾情等动态信息，及时反馈首席专家工作室，首席专家组织会诊并提出明确意见和建议后报省农业农村厅有关部门。</w:t>
      </w:r>
    </w:p>
    <w:p>
      <w:pPr>
        <w:pStyle w:val="2"/>
        <w:keepNext w:val="0"/>
        <w:keepLines w:val="0"/>
        <w:pageBreakBefore w:val="0"/>
        <w:widowControl w:val="0"/>
        <w:kinsoku/>
        <w:wordWrap w:val="0"/>
        <w:overflowPunct/>
        <w:topLinePunct w:val="0"/>
        <w:autoSpaceDE/>
        <w:autoSpaceDN/>
        <w:bidi w:val="0"/>
        <w:adjustRightInd/>
        <w:snapToGrid/>
        <w:spacing w:line="590" w:lineRule="exact"/>
        <w:ind w:left="0" w:firstLine="643" w:firstLineChars="200"/>
        <w:jc w:val="both"/>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lang w:eastAsia="zh-CN"/>
        </w:rPr>
        <w:t>（</w:t>
      </w:r>
      <w:r>
        <w:rPr>
          <w:rFonts w:hint="eastAsia" w:ascii="楷体_GB2312" w:hAnsi="楷体_GB2312" w:eastAsia="楷体_GB2312" w:cs="楷体_GB2312"/>
          <w:b/>
          <w:bCs/>
          <w:snapToGrid w:val="0"/>
          <w:color w:val="auto"/>
          <w:kern w:val="0"/>
          <w:sz w:val="32"/>
          <w:szCs w:val="32"/>
          <w:lang w:val="en-US" w:eastAsia="zh-CN"/>
        </w:rPr>
        <w:t>三</w:t>
      </w:r>
      <w:r>
        <w:rPr>
          <w:rFonts w:hint="eastAsia" w:ascii="楷体_GB2312" w:hAnsi="楷体_GB2312" w:eastAsia="楷体_GB2312" w:cs="楷体_GB2312"/>
          <w:b/>
          <w:bCs/>
          <w:snapToGrid w:val="0"/>
          <w:color w:val="auto"/>
          <w:kern w:val="0"/>
          <w:sz w:val="32"/>
          <w:szCs w:val="32"/>
          <w:lang w:eastAsia="zh-CN"/>
        </w:rPr>
        <w:t>）</w:t>
      </w:r>
      <w:r>
        <w:rPr>
          <w:rFonts w:hint="eastAsia" w:ascii="楷体_GB2312" w:hAnsi="楷体_GB2312" w:eastAsia="楷体_GB2312" w:cs="楷体_GB2312"/>
          <w:b/>
          <w:bCs/>
          <w:snapToGrid w:val="0"/>
          <w:color w:val="auto"/>
          <w:kern w:val="0"/>
          <w:sz w:val="32"/>
          <w:szCs w:val="32"/>
        </w:rPr>
        <w:t>绩效考核</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建立现代农业产业技术体系绩效考评制度，年度绩效考核与周期绩效考核相结合。</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每年，首席专家组织对副首席专家、岗位专家履职情况进行考核。对考核不合格或确不适应任务的专家，提出调整意见；对业绩突出的，积极推荐承担科技计划和申报科技奖励荣誉。</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每年，管理咨询委员会对各体系分年度计划完成情况和首席专家履职情况进行考核</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对各体系考核评分结果排队，排名情况予以通报。</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每</w:t>
      </w:r>
      <w:r>
        <w:rPr>
          <w:rFonts w:hint="eastAsia" w:ascii="仿宋_GB2312" w:hAnsi="仿宋_GB2312" w:eastAsia="仿宋_GB2312" w:cs="仿宋_GB2312"/>
          <w:snapToGrid w:val="0"/>
          <w:color w:val="auto"/>
          <w:kern w:val="0"/>
          <w:sz w:val="32"/>
          <w:szCs w:val="32"/>
          <w:lang w:val="en-US" w:eastAsia="zh-CN"/>
        </w:rPr>
        <w:t>5</w:t>
      </w:r>
      <w:r>
        <w:rPr>
          <w:rFonts w:hint="eastAsia" w:ascii="仿宋_GB2312" w:hAnsi="仿宋_GB2312" w:eastAsia="仿宋_GB2312" w:cs="仿宋_GB2312"/>
          <w:snapToGrid w:val="0"/>
          <w:color w:val="auto"/>
          <w:kern w:val="0"/>
          <w:sz w:val="32"/>
          <w:szCs w:val="32"/>
        </w:rPr>
        <w:t>年，管理咨询委员会对各体系任务规划完成情况和首席专家履职情况进行综合考核。重点考核体系与产业的关联度、对产业的贡献度和技术研发的创新度，着力促进创新链、产业链和市场需求有机衔接，增强体系服务产业发展的自觉性、精准性、及时性和有效性。结合年度考核情况，</w:t>
      </w:r>
      <w:r>
        <w:rPr>
          <w:rFonts w:hint="eastAsia" w:ascii="仿宋_GB2312" w:hAnsi="仿宋_GB2312" w:eastAsia="仿宋_GB2312" w:cs="仿宋_GB2312"/>
          <w:snapToGrid w:val="0"/>
          <w:color w:val="auto"/>
          <w:kern w:val="0"/>
          <w:sz w:val="32"/>
          <w:szCs w:val="32"/>
          <w:lang w:val="en-US" w:eastAsia="zh-CN"/>
        </w:rPr>
        <w:t>5年中3年排名后两位的产业技术体系解除聘用首席专家</w:t>
      </w:r>
      <w:r>
        <w:rPr>
          <w:rFonts w:hint="eastAsia" w:ascii="仿宋_GB2312" w:hAnsi="仿宋_GB2312" w:eastAsia="仿宋_GB2312" w:cs="仿宋_GB2312"/>
          <w:snapToGrid w:val="0"/>
          <w:color w:val="auto"/>
          <w:kern w:val="0"/>
          <w:sz w:val="32"/>
          <w:szCs w:val="32"/>
        </w:rPr>
        <w:t>。</w:t>
      </w:r>
    </w:p>
    <w:p>
      <w:pPr>
        <w:keepNext w:val="0"/>
        <w:keepLines w:val="0"/>
        <w:pageBreakBefore w:val="0"/>
        <w:widowControl w:val="0"/>
        <w:kinsoku/>
        <w:wordWrap w:val="0"/>
        <w:overflowPunct/>
        <w:topLinePunct w:val="0"/>
        <w:autoSpaceDE/>
        <w:autoSpaceDN/>
        <w:bidi w:val="0"/>
        <w:spacing w:line="590" w:lineRule="exact"/>
        <w:ind w:left="0" w:firstLine="640" w:firstLineChars="200"/>
        <w:jc w:val="both"/>
        <w:textAlignment w:val="auto"/>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rPr>
        <w:t>七、保障措施</w:t>
      </w:r>
    </w:p>
    <w:p>
      <w:pPr>
        <w:keepNext w:val="0"/>
        <w:keepLines w:val="0"/>
        <w:pageBreakBefore w:val="0"/>
        <w:widowControl w:val="0"/>
        <w:kinsoku/>
        <w:wordWrap w:val="0"/>
        <w:overflowPunct/>
        <w:topLinePunct w:val="0"/>
        <w:autoSpaceDE/>
        <w:autoSpaceDN/>
        <w:bidi w:val="0"/>
        <w:adjustRightInd/>
        <w:snapToGrid/>
        <w:spacing w:line="590" w:lineRule="exact"/>
        <w:ind w:left="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lang w:val="en-US" w:eastAsia="zh-CN" w:bidi="ar-SA"/>
        </w:rPr>
        <w:t>（一）经费支持保障。</w:t>
      </w:r>
      <w:r>
        <w:rPr>
          <w:rFonts w:hint="eastAsia" w:ascii="仿宋_GB2312" w:hAnsi="仿宋_GB2312" w:eastAsia="仿宋_GB2312" w:cs="仿宋_GB2312"/>
          <w:snapToGrid w:val="0"/>
          <w:color w:val="auto"/>
          <w:kern w:val="0"/>
          <w:sz w:val="32"/>
          <w:szCs w:val="32"/>
        </w:rPr>
        <w:t>建立稳定的现代农业产业技术体系经费保障机制，将现代农业产业技术体系专项资金列入省级财政年度预算，主要用于体系建设基本研发、体系人员基本经费、仪器设备购置费补助、试验站基本建设补助等。</w:t>
      </w:r>
    </w:p>
    <w:p>
      <w:pPr>
        <w:keepNext w:val="0"/>
        <w:keepLines w:val="0"/>
        <w:pageBreakBefore w:val="0"/>
        <w:widowControl w:val="0"/>
        <w:kinsoku/>
        <w:wordWrap w:val="0"/>
        <w:overflowPunct/>
        <w:topLinePunct w:val="0"/>
        <w:autoSpaceDE/>
        <w:autoSpaceDN/>
        <w:bidi w:val="0"/>
        <w:adjustRightInd/>
        <w:snapToGrid/>
        <w:spacing w:line="590" w:lineRule="exact"/>
        <w:ind w:left="0" w:firstLine="640" w:firstLineChars="200"/>
        <w:jc w:val="both"/>
        <w:textAlignment w:val="auto"/>
        <w:rPr>
          <w:rFonts w:hint="eastAsia" w:ascii="仿宋_GB2312" w:hAnsi="仿宋_GB2312" w:eastAsia="仿宋_GB2312" w:cs="仿宋_GB2312"/>
          <w:snapToGrid w:val="0"/>
          <w:color w:val="auto"/>
          <w:spacing w:val="6"/>
          <w:kern w:val="0"/>
          <w:sz w:val="32"/>
          <w:szCs w:val="32"/>
        </w:rPr>
      </w:pPr>
      <w:r>
        <w:rPr>
          <w:rFonts w:hint="eastAsia" w:ascii="楷体_GB2312" w:hAnsi="楷体_GB2312" w:eastAsia="楷体_GB2312" w:cs="楷体_GB2312"/>
          <w:b w:val="0"/>
          <w:bCs w:val="0"/>
          <w:snapToGrid w:val="0"/>
          <w:color w:val="auto"/>
          <w:kern w:val="0"/>
          <w:sz w:val="32"/>
          <w:szCs w:val="32"/>
          <w:lang w:val="en-US" w:eastAsia="zh-CN" w:bidi="ar-SA"/>
        </w:rPr>
        <w:t>（二）人员和设施条件保障。</w:t>
      </w:r>
      <w:r>
        <w:rPr>
          <w:rFonts w:hint="eastAsia" w:ascii="仿宋_GB2312" w:hAnsi="仿宋_GB2312" w:eastAsia="仿宋_GB2312" w:cs="仿宋_GB2312"/>
          <w:snapToGrid w:val="0"/>
          <w:color w:val="auto"/>
          <w:spacing w:val="6"/>
          <w:kern w:val="0"/>
          <w:sz w:val="32"/>
          <w:szCs w:val="32"/>
        </w:rPr>
        <w:t>体系成员优先完成体系内的研发服务和试验示范任务，自觉接受相关制度管理，享受相关支持政策，保证现代农业产业技术体系研发的技术成果优先交给体系及相关试验示范与推广依托应用部门使用。体系建设依托单位提供体系的办公条件、实验条件、仪器设备使用和试验示范用地（设施），为首席专家、岗位专家开展业务活动提供便利条件。</w:t>
      </w:r>
    </w:p>
    <w:p>
      <w:pPr>
        <w:keepNext w:val="0"/>
        <w:keepLines w:val="0"/>
        <w:pageBreakBefore w:val="0"/>
        <w:widowControl w:val="0"/>
        <w:kinsoku/>
        <w:wordWrap w:val="0"/>
        <w:overflowPunct/>
        <w:topLinePunct w:val="0"/>
        <w:autoSpaceDE/>
        <w:autoSpaceDN/>
        <w:bidi w:val="0"/>
        <w:adjustRightInd/>
        <w:snapToGrid/>
        <w:spacing w:line="590" w:lineRule="exact"/>
        <w:ind w:left="0" w:firstLine="640" w:firstLineChars="200"/>
        <w:jc w:val="both"/>
        <w:textAlignment w:val="auto"/>
        <w:rPr>
          <w:rFonts w:hint="eastAsia" w:ascii="仿宋_GB2312" w:hAnsi="仿宋_GB2312" w:eastAsia="仿宋_GB2312" w:cs="仿宋_GB2312"/>
          <w:snapToGrid w:val="0"/>
          <w:color w:val="auto"/>
          <w:spacing w:val="11"/>
          <w:kern w:val="0"/>
          <w:sz w:val="32"/>
          <w:szCs w:val="32"/>
          <w:lang w:val="en-US" w:eastAsia="zh-CN"/>
        </w:rPr>
      </w:pPr>
      <w:r>
        <w:rPr>
          <w:rFonts w:hint="eastAsia" w:ascii="楷体_GB2312" w:hAnsi="楷体_GB2312" w:eastAsia="楷体_GB2312" w:cs="楷体_GB2312"/>
          <w:b w:val="0"/>
          <w:bCs w:val="0"/>
          <w:snapToGrid w:val="0"/>
          <w:color w:val="auto"/>
          <w:kern w:val="0"/>
          <w:sz w:val="32"/>
          <w:szCs w:val="32"/>
          <w:lang w:val="en-US" w:eastAsia="zh-CN" w:bidi="ar-SA"/>
        </w:rPr>
        <w:t>（三）制度建设保障。</w:t>
      </w:r>
      <w:r>
        <w:rPr>
          <w:rFonts w:hint="eastAsia" w:ascii="仿宋_GB2312" w:hAnsi="仿宋_GB2312" w:eastAsia="仿宋_GB2312" w:cs="仿宋_GB2312"/>
          <w:snapToGrid w:val="0"/>
          <w:color w:val="auto"/>
          <w:spacing w:val="11"/>
          <w:kern w:val="0"/>
          <w:sz w:val="32"/>
          <w:szCs w:val="32"/>
        </w:rPr>
        <w:t>逐步建立完善与国家体系的衔接制度、技术需求与任务确立制度、信息交流与资源共享制度、绩效评价制度、人员考评动态管理制度、知识产权保护和成果管理制度以及相应的运行机制，用制度创新保障科技创新和服务成效。</w:t>
      </w:r>
    </w:p>
    <w:sectPr>
      <w:footerReference r:id="rId3" w:type="default"/>
      <w:pgSz w:w="11906" w:h="16838"/>
      <w:pgMar w:top="1814" w:right="1531" w:bottom="1757" w:left="1531" w:header="850" w:footer="1701" w:gutter="0"/>
      <w:pgNumType w:fmt="numberInDash"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Black"/>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8" name="文本框 4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ascii="Times New Roman" w:hAnsi="Times New Roman" w:cs="Times New Roman"/>
                              <w:sz w:val="21"/>
                              <w:szCs w:val="21"/>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DDTw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6gw08NAIAAGUEAAAOAAAAAAAAAAEAIAAAAB8BAABkcnMvZTJvRG9jLnhtbFBL&#10;BQYAAAAABgAGAFkBAADF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default" w:ascii="Times New Roman" w:hAnsi="Times New Roman" w:cs="Times New Roman"/>
                        <w:sz w:val="21"/>
                        <w:szCs w:val="21"/>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13FE1"/>
    <w:rsid w:val="001E18B0"/>
    <w:rsid w:val="00240D96"/>
    <w:rsid w:val="00291CE7"/>
    <w:rsid w:val="002B0B45"/>
    <w:rsid w:val="00321979"/>
    <w:rsid w:val="004A2FC3"/>
    <w:rsid w:val="005C274B"/>
    <w:rsid w:val="006C177F"/>
    <w:rsid w:val="006F51C6"/>
    <w:rsid w:val="00775D7B"/>
    <w:rsid w:val="00850628"/>
    <w:rsid w:val="00D17252"/>
    <w:rsid w:val="00F13799"/>
    <w:rsid w:val="00F4243D"/>
    <w:rsid w:val="05674979"/>
    <w:rsid w:val="07256D98"/>
    <w:rsid w:val="0D3B7E24"/>
    <w:rsid w:val="118418FA"/>
    <w:rsid w:val="1D005A67"/>
    <w:rsid w:val="1E2E32D1"/>
    <w:rsid w:val="20301F70"/>
    <w:rsid w:val="20C932CD"/>
    <w:rsid w:val="24FE6DEF"/>
    <w:rsid w:val="26CA45DC"/>
    <w:rsid w:val="2A742CE3"/>
    <w:rsid w:val="2ADA06C6"/>
    <w:rsid w:val="2B8B2CEF"/>
    <w:rsid w:val="2C877013"/>
    <w:rsid w:val="30974BD0"/>
    <w:rsid w:val="30FB19C9"/>
    <w:rsid w:val="3CC614FA"/>
    <w:rsid w:val="3DCC034A"/>
    <w:rsid w:val="3E15585F"/>
    <w:rsid w:val="46FD210D"/>
    <w:rsid w:val="4A1908CF"/>
    <w:rsid w:val="4AC3624C"/>
    <w:rsid w:val="4AC53957"/>
    <w:rsid w:val="4E7722A4"/>
    <w:rsid w:val="4EB34834"/>
    <w:rsid w:val="4FF10901"/>
    <w:rsid w:val="587F1DED"/>
    <w:rsid w:val="5DCF4B92"/>
    <w:rsid w:val="5E6C1EF5"/>
    <w:rsid w:val="637862BB"/>
    <w:rsid w:val="63C97EA7"/>
    <w:rsid w:val="65AE7D29"/>
    <w:rsid w:val="65E847FB"/>
    <w:rsid w:val="697975A0"/>
    <w:rsid w:val="6A9D6643"/>
    <w:rsid w:val="6CE552E0"/>
    <w:rsid w:val="6CF778CA"/>
    <w:rsid w:val="6ECC2876"/>
    <w:rsid w:val="6F807B66"/>
    <w:rsid w:val="70713FE1"/>
    <w:rsid w:val="7137281F"/>
    <w:rsid w:val="762D7FC1"/>
    <w:rsid w:val="7BD9463E"/>
    <w:rsid w:val="FFBF3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style>
  <w:style w:type="paragraph" w:styleId="3">
    <w:name w:val="Body Text Indent"/>
    <w:basedOn w:val="1"/>
    <w:qFormat/>
    <w:uiPriority w:val="0"/>
    <w:pPr>
      <w:spacing w:after="120"/>
      <w:ind w:left="420" w:leftChars="200"/>
    </w:p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2"/>
    <w:basedOn w:val="3"/>
    <w:qFormat/>
    <w:uiPriority w:val="0"/>
    <w:pPr>
      <w:ind w:firstLine="420" w:firstLineChars="200"/>
    </w:pPr>
    <w:rPr>
      <w:rFonts w:ascii="Calibri" w:hAnsi="Calibri"/>
    </w:rPr>
  </w:style>
  <w:style w:type="character" w:customStyle="1" w:styleId="11">
    <w:name w:val="页脚 Char"/>
    <w:basedOn w:val="10"/>
    <w:link w:val="4"/>
    <w:qFormat/>
    <w:uiPriority w:val="0"/>
    <w:rPr>
      <w:kern w:val="2"/>
      <w:sz w:val="18"/>
      <w:szCs w:val="18"/>
    </w:rPr>
  </w:style>
  <w:style w:type="character" w:customStyle="1" w:styleId="12">
    <w:name w:val="正文文本 Char"/>
    <w:basedOn w:val="10"/>
    <w:link w:val="2"/>
    <w:qFormat/>
    <w:uiPriority w:val="0"/>
    <w:rPr>
      <w:kern w:val="2"/>
      <w:sz w:val="21"/>
    </w:rPr>
  </w:style>
  <w:style w:type="character" w:customStyle="1" w:styleId="13">
    <w:name w:val="UserStyle_0"/>
    <w:qFormat/>
    <w:uiPriority w:val="0"/>
    <w:rPr>
      <w:rFonts w:ascii="Times New Roman" w:hAnsi="Times New Roman" w:eastAsia="宋体"/>
      <w:kern w:val="2"/>
      <w:sz w:val="21"/>
      <w:lang w:val="en-US" w:eastAsia="zh-CN"/>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6418</Words>
  <Characters>6481</Characters>
  <Lines>25</Lines>
  <Paragraphs>7</Paragraphs>
  <TotalTime>191</TotalTime>
  <ScaleCrop>false</ScaleCrop>
  <LinksUpToDate>false</LinksUpToDate>
  <CharactersWithSpaces>6521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2021-06-26T09:09:00Z</dcterms:created>
  <dc:creator>云中燕</dc:creator>
  <cp:lastModifiedBy>边春慧</cp:lastModifiedBy>
  <cp:lastPrinted>2021-08-05T19:14:00Z</cp:lastPrinted>
  <dcterms:modified xsi:type="dcterms:W3CDTF">2021-09-29T08:47:54Z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4C5AFF88D4564726A75F86E3147F1E09</vt:lpwstr>
  </property>
  <property fmtid="{D5CDD505-2E9C-101B-9397-08002B2CF9AE}" pid="4" name="KSOSaveFontToCloudKey">
    <vt:lpwstr>609247861_cloud</vt:lpwstr>
  </property>
</Properties>
</file>