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6" w:lineRule="exact"/>
        <w:jc w:val="left"/>
        <w:rPr>
          <w:rFonts w:ascii="黑体" w:hAnsi="黑体" w:eastAsia="黑体" w:cs="黑体"/>
          <w:sz w:val="32"/>
          <w:szCs w:val="36"/>
        </w:rPr>
      </w:pPr>
      <w:r>
        <w:rPr>
          <w:rFonts w:hint="eastAsia" w:ascii="黑体" w:hAnsi="黑体" w:eastAsia="黑体" w:cs="黑体"/>
          <w:sz w:val="32"/>
          <w:szCs w:val="36"/>
        </w:rPr>
        <w:t>附件13</w:t>
      </w:r>
    </w:p>
    <w:p>
      <w:pPr>
        <w:pStyle w:val="2"/>
        <w:shd w:val="clear" w:color="auto" w:fill="FFFFFF"/>
        <w:autoSpaceDE w:val="0"/>
        <w:spacing w:before="0" w:beforeAutospacing="0" w:after="0" w:afterAutospacing="0" w:line="586" w:lineRule="exact"/>
        <w:jc w:val="center"/>
        <w:rPr>
          <w:rFonts w:ascii="方正小标宋简体" w:hAnsi="方正小标宋简体" w:eastAsia="方正小标宋简体" w:cs="方正小标宋简体"/>
          <w:kern w:val="2"/>
          <w:sz w:val="44"/>
          <w:szCs w:val="44"/>
        </w:rPr>
      </w:pPr>
    </w:p>
    <w:p>
      <w:pPr>
        <w:pStyle w:val="2"/>
        <w:shd w:val="clear" w:color="auto" w:fill="FFFFFF"/>
        <w:autoSpaceDE w:val="0"/>
        <w:spacing w:before="0" w:beforeAutospacing="0" w:after="0" w:afterAutospacing="0" w:line="586"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渔业技术服务要点</w:t>
      </w:r>
    </w:p>
    <w:p>
      <w:pPr>
        <w:pStyle w:val="2"/>
        <w:shd w:val="clear" w:color="auto" w:fill="FFFFFF"/>
        <w:autoSpaceDE w:val="0"/>
        <w:spacing w:before="0" w:beforeAutospacing="0" w:after="0" w:afterAutospacing="0" w:line="586" w:lineRule="exact"/>
        <w:jc w:val="center"/>
        <w:rPr>
          <w:rFonts w:ascii="方正小标宋简体" w:hAnsi="方正小标宋简体" w:eastAsia="方正小标宋简体" w:cs="方正小标宋简体"/>
          <w:kern w:val="2"/>
          <w:sz w:val="44"/>
          <w:szCs w:val="44"/>
        </w:rPr>
      </w:pP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季度是池塘养殖对象重要的育成阶段，此阶段养殖对象食欲旺盛、生长迅速，同时池塘水体负荷逐渐增大,病原微生物大量繁殖，加之此阶段天气以温度高、降雨量大为主要特点，做好池塘养殖管理、病害防治和防灾减灾工作，对于全年养殖的成功率和效益尤为关键，要指导做好以下几点：</w:t>
      </w:r>
    </w:p>
    <w:p>
      <w:pPr>
        <w:widowControl/>
        <w:spacing w:line="58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一、加强池塘养殖管理</w:t>
      </w:r>
    </w:p>
    <w:p>
      <w:pPr>
        <w:spacing w:line="586"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一是科学投饲。</w:t>
      </w:r>
      <w:r>
        <w:rPr>
          <w:rFonts w:hint="eastAsia" w:ascii="仿宋_GB2312" w:hAnsi="仿宋_GB2312" w:eastAsia="仿宋_GB2312" w:cs="仿宋_GB2312"/>
          <w:color w:val="000000"/>
          <w:sz w:val="32"/>
          <w:szCs w:val="32"/>
        </w:rPr>
        <w:t>结合养殖场（户）实际养殖情况，制定科学的投喂计划。</w:t>
      </w:r>
      <w:r>
        <w:rPr>
          <w:rFonts w:hint="eastAsia" w:ascii="仿宋_GB2312" w:hAnsi="仿宋_GB2312" w:eastAsia="仿宋_GB2312" w:cs="仿宋_GB2312"/>
          <w:b/>
          <w:bCs/>
          <w:color w:val="000000"/>
          <w:sz w:val="32"/>
          <w:szCs w:val="32"/>
        </w:rPr>
        <w:t>二是及时增氧。</w:t>
      </w:r>
      <w:r>
        <w:rPr>
          <w:rFonts w:hint="eastAsia" w:ascii="仿宋_GB2312" w:hAnsi="仿宋_GB2312" w:eastAsia="仿宋_GB2312" w:cs="仿宋_GB2312"/>
          <w:color w:val="000000"/>
          <w:sz w:val="32"/>
          <w:szCs w:val="32"/>
        </w:rPr>
        <w:t>三季度气温高、气压低、降雨频繁，池塘溶解氧普遍偏低，要科学合理使用增氧设施，保障养殖池塘溶解氧维持在正常范围。一般采用机械增氧方法，严重缺氧时使用化学增氧剂。</w:t>
      </w:r>
      <w:r>
        <w:rPr>
          <w:rFonts w:hint="eastAsia" w:ascii="仿宋_GB2312" w:hAnsi="仿宋_GB2312" w:eastAsia="仿宋_GB2312" w:cs="仿宋_GB2312"/>
          <w:b/>
          <w:bCs/>
          <w:color w:val="000000"/>
          <w:sz w:val="32"/>
          <w:szCs w:val="32"/>
        </w:rPr>
        <w:t>三是及时调节水质。</w:t>
      </w:r>
      <w:r>
        <w:rPr>
          <w:rFonts w:hint="eastAsia" w:ascii="仿宋_GB2312" w:hAnsi="仿宋_GB2312" w:eastAsia="仿宋_GB2312" w:cs="仿宋_GB2312"/>
          <w:color w:val="000000"/>
          <w:sz w:val="32"/>
          <w:szCs w:val="32"/>
        </w:rPr>
        <w:t xml:space="preserve">三季度随着投饵量的增加，池塘水体富营养化情况严重，池塘底泥 “氧债”逐渐积累，有害微生物滋生，此阶段要特别注意养殖水体水质的管控，做好池塘水体的水质监测，定期消毒、定期施用微生态制剂。 </w:t>
      </w:r>
    </w:p>
    <w:p>
      <w:pPr>
        <w:widowControl/>
        <w:spacing w:line="58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二、做好病害防治</w:t>
      </w:r>
    </w:p>
    <w:p>
      <w:pPr>
        <w:spacing w:line="58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阶段养殖对象摄食量大，生长速度快，与之相对应的养殖对象脏器尤其肝脏、肠道代谢负荷大，加之养殖水体环境变差，疫病发生频率增加。在做好水质调控的基础上，坚持以防为主，防治结合的原则，做好养殖对象的疫病防控工作。</w:t>
      </w:r>
    </w:p>
    <w:p>
      <w:pPr>
        <w:widowControl/>
        <w:spacing w:line="586"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主要易发疾病治疗方案：</w:t>
      </w:r>
    </w:p>
    <w:p>
      <w:pPr>
        <w:spacing w:line="586"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bCs/>
          <w:color w:val="000000"/>
          <w:sz w:val="32"/>
          <w:szCs w:val="32"/>
        </w:rPr>
        <w:t>（一）暴发性出血病。</w:t>
      </w:r>
      <w:r>
        <w:rPr>
          <w:rFonts w:hint="eastAsia" w:ascii="仿宋_GB2312" w:hAnsi="仿宋_GB2312" w:eastAsia="仿宋_GB2312" w:cs="仿宋_GB2312"/>
          <w:color w:val="000000"/>
          <w:sz w:val="32"/>
          <w:szCs w:val="32"/>
        </w:rPr>
        <w:t>氟苯尼考</w:t>
      </w:r>
      <w:bookmarkStart w:id="0" w:name="_Hlk108883178"/>
      <w:r>
        <w:rPr>
          <w:rFonts w:hint="eastAsia" w:ascii="仿宋_GB2312" w:hAnsi="仿宋_GB2312" w:eastAsia="仿宋_GB2312" w:cs="仿宋_GB2312"/>
          <w:color w:val="000000"/>
          <w:sz w:val="32"/>
          <w:szCs w:val="32"/>
        </w:rPr>
        <w:t>拌料投喂</w:t>
      </w:r>
      <w:bookmarkEnd w:id="0"/>
      <w:r>
        <w:rPr>
          <w:rFonts w:hint="eastAsia" w:ascii="仿宋_GB2312" w:hAnsi="仿宋_GB2312" w:eastAsia="仿宋_GB2312" w:cs="仿宋_GB2312"/>
          <w:color w:val="000000"/>
          <w:sz w:val="32"/>
          <w:szCs w:val="32"/>
        </w:rPr>
        <w:t>。全池泼洒二氧化氯杀灭病源细菌。</w:t>
      </w:r>
    </w:p>
    <w:p>
      <w:pPr>
        <w:spacing w:line="586"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bCs/>
          <w:color w:val="000000"/>
          <w:sz w:val="32"/>
          <w:szCs w:val="32"/>
        </w:rPr>
        <w:t>（二）细菌性肠炎病。</w:t>
      </w:r>
      <w:r>
        <w:rPr>
          <w:rFonts w:hint="eastAsia" w:ascii="仿宋_GB2312" w:hAnsi="仿宋_GB2312" w:eastAsia="仿宋_GB2312" w:cs="仿宋_GB2312"/>
          <w:color w:val="000000"/>
          <w:sz w:val="32"/>
          <w:szCs w:val="32"/>
        </w:rPr>
        <w:t>大蒜素拌料投喂。全池泼洒二氧化氯杀灭病源细菌。</w:t>
      </w:r>
    </w:p>
    <w:p>
      <w:pPr>
        <w:spacing w:line="586"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bCs/>
          <w:color w:val="000000"/>
          <w:sz w:val="32"/>
          <w:szCs w:val="32"/>
        </w:rPr>
        <w:t>（三）细菌性烂鳃病。</w:t>
      </w:r>
      <w:r>
        <w:rPr>
          <w:rFonts w:hint="eastAsia" w:ascii="仿宋_GB2312" w:hAnsi="仿宋_GB2312" w:eastAsia="仿宋_GB2312" w:cs="仿宋_GB2312"/>
          <w:color w:val="000000"/>
          <w:sz w:val="32"/>
          <w:szCs w:val="32"/>
        </w:rPr>
        <w:t>氟苯尼考拌料投喂。全池泼洒二氧化氯杀灭病源细菌。</w:t>
      </w:r>
    </w:p>
    <w:p>
      <w:pPr>
        <w:pStyle w:val="2"/>
        <w:shd w:val="clear" w:color="auto" w:fill="FFFFFF"/>
        <w:autoSpaceDE w:val="0"/>
        <w:spacing w:before="0" w:beforeAutospacing="0" w:after="0" w:afterAutospacing="0" w:line="586"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三、做好雨季防灾减灾工作</w:t>
      </w:r>
    </w:p>
    <w:p>
      <w:pPr>
        <w:pStyle w:val="2"/>
        <w:shd w:val="clear" w:color="auto" w:fill="FFFFFF"/>
        <w:autoSpaceDE w:val="0"/>
        <w:spacing w:before="0" w:beforeAutospacing="0" w:after="0" w:afterAutospacing="0" w:line="586"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我省三季度降雨频繁、降雨量大，需针对雨季养殖池塘水位上升，溢塘的风险加大，养殖对象应激反应频繁，藻类大量死亡，各种水质指标出现异常等一系列问题制定相应防灾减灾措施，保障全年养殖成功率。</w:t>
      </w:r>
      <w:r>
        <w:rPr>
          <w:rFonts w:hint="eastAsia" w:ascii="仿宋_GB2312" w:hAnsi="仿宋_GB2312" w:eastAsia="仿宋_GB2312" w:cs="仿宋_GB2312"/>
          <w:b/>
          <w:bCs/>
          <w:color w:val="000000"/>
          <w:kern w:val="2"/>
          <w:sz w:val="32"/>
          <w:szCs w:val="32"/>
        </w:rPr>
        <w:t>一是及时采取安全预防措施。</w:t>
      </w:r>
      <w:r>
        <w:rPr>
          <w:rFonts w:hint="eastAsia" w:ascii="仿宋_GB2312" w:hAnsi="仿宋_GB2312" w:eastAsia="仿宋_GB2312" w:cs="仿宋_GB2312"/>
          <w:color w:val="000000"/>
          <w:kern w:val="2"/>
          <w:sz w:val="32"/>
          <w:szCs w:val="32"/>
        </w:rPr>
        <w:t>要注意天气和水位变化，必要时采取加高堤坝等措施。加强安全生产管理，特别是防止雷击、设施漏电、电线落水等引发的触电意外。</w:t>
      </w:r>
      <w:r>
        <w:rPr>
          <w:rFonts w:hint="eastAsia" w:ascii="仿宋_GB2312" w:hAnsi="仿宋_GB2312" w:eastAsia="仿宋_GB2312" w:cs="仿宋_GB2312"/>
          <w:b/>
          <w:bCs/>
          <w:color w:val="000000"/>
          <w:kern w:val="2"/>
          <w:sz w:val="32"/>
          <w:szCs w:val="32"/>
        </w:rPr>
        <w:t>二是及时修复养殖设施。</w:t>
      </w:r>
      <w:r>
        <w:rPr>
          <w:rFonts w:hint="eastAsia" w:ascii="仿宋_GB2312" w:hAnsi="仿宋_GB2312" w:eastAsia="仿宋_GB2312" w:cs="仿宋_GB2312"/>
          <w:color w:val="000000"/>
          <w:kern w:val="2"/>
          <w:sz w:val="32"/>
          <w:szCs w:val="32"/>
        </w:rPr>
        <w:t>要对养殖设施尤其进排水系统、池塘堤坝等进行全面加固和修整，被淹没的池塘，水位一旦回落，要抓紧抢修养殖设施，为补放苗种做准备。</w:t>
      </w:r>
      <w:r>
        <w:rPr>
          <w:rFonts w:hint="eastAsia" w:ascii="仿宋_GB2312" w:hAnsi="仿宋_GB2312" w:eastAsia="仿宋_GB2312" w:cs="仿宋_GB2312"/>
          <w:b/>
          <w:bCs/>
          <w:color w:val="000000"/>
          <w:kern w:val="2"/>
          <w:sz w:val="32"/>
          <w:szCs w:val="32"/>
        </w:rPr>
        <w:t>三是适时补放苗种。</w:t>
      </w:r>
      <w:r>
        <w:rPr>
          <w:rFonts w:hint="eastAsia" w:ascii="仿宋_GB2312" w:hAnsi="仿宋_GB2312" w:eastAsia="仿宋_GB2312" w:cs="仿宋_GB2312"/>
          <w:color w:val="000000"/>
          <w:kern w:val="2"/>
          <w:sz w:val="32"/>
          <w:szCs w:val="32"/>
        </w:rPr>
        <w:t>灾后的养殖池塘，要科学评估灾后养殖水域内现存养殖品种的数量，做好消毒免疫、苗种补放和后期的饲养管理。苗种补放根据养殖主体养殖习惯及苗种存量的实际情况灵活选择品种。</w:t>
      </w:r>
      <w:r>
        <w:rPr>
          <w:rFonts w:hint="eastAsia" w:ascii="仿宋_GB2312" w:hAnsi="仿宋_GB2312" w:eastAsia="仿宋_GB2312" w:cs="仿宋_GB2312"/>
          <w:b/>
          <w:bCs/>
          <w:color w:val="000000"/>
          <w:kern w:val="2"/>
          <w:sz w:val="32"/>
          <w:szCs w:val="32"/>
        </w:rPr>
        <w:t>四是防止疫病发生。</w:t>
      </w:r>
      <w:r>
        <w:rPr>
          <w:rFonts w:hint="eastAsia" w:ascii="仿宋_GB2312" w:hAnsi="仿宋_GB2312" w:eastAsia="仿宋_GB2312" w:cs="仿宋_GB2312"/>
          <w:color w:val="000000"/>
          <w:kern w:val="2"/>
          <w:sz w:val="32"/>
          <w:szCs w:val="32"/>
        </w:rPr>
        <w:t>做好死鱼无害化处理工作。宣传渔业公共卫生与健康管理的意识，洪灾后要做好水体环境消毒，防止出血病、烂鳃病、肠炎病、赤皮病、鳃霉病等疫病爆发。</w:t>
      </w:r>
    </w:p>
    <w:p>
      <w:pPr>
        <w:pStyle w:val="2"/>
        <w:shd w:val="clear" w:color="auto" w:fill="FFFFFF"/>
        <w:autoSpaceDE w:val="0"/>
        <w:spacing w:before="0" w:beforeAutospacing="0" w:after="0" w:afterAutospacing="0" w:line="586"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四、做好设施渔业技术支撑</w:t>
      </w: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r>
        <w:rPr>
          <w:rFonts w:hint="eastAsia" w:ascii="仿宋_GB2312" w:hAnsi="仿宋_GB2312" w:eastAsia="仿宋_GB2312" w:cs="仿宋_GB2312"/>
          <w:color w:val="000000"/>
          <w:spacing w:val="4"/>
          <w:kern w:val="2"/>
          <w:sz w:val="32"/>
          <w:szCs w:val="32"/>
        </w:rPr>
        <w:t>主要针对目前运行的陆基圆池+池塘循环水养殖系统、大棚鱼菜综合种养系统养殖尾水高效净化流程中鱼池集排污、物理过滤、净化塘水质调控等方面开展技术咨询和服务。涉及两种模式鱼池集排污设施改造、物理过滤设施的安装和运行、净化塘的水生生物搭配比例、微生态制剂施用以及增氧设施的设置和运行等。</w:t>
      </w: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Pr>
        <w:pStyle w:val="2"/>
        <w:shd w:val="clear" w:color="auto" w:fill="FFFFFF"/>
        <w:autoSpaceDE w:val="0"/>
        <w:spacing w:before="0" w:beforeAutospacing="0" w:after="0" w:afterAutospacing="0" w:line="586" w:lineRule="exact"/>
        <w:ind w:firstLine="656" w:firstLineChars="200"/>
        <w:jc w:val="both"/>
        <w:rPr>
          <w:rFonts w:ascii="仿宋_GB2312" w:hAnsi="仿宋_GB2312" w:eastAsia="仿宋_GB2312" w:cs="仿宋_GB2312"/>
          <w:color w:val="000000"/>
          <w:spacing w:val="4"/>
          <w:kern w:val="2"/>
          <w:sz w:val="32"/>
          <w:szCs w:val="32"/>
        </w:rPr>
      </w:pPr>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0D914F-D26C-429E-B429-C92A776FD4E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09F14ED5-1109-4851-8025-9EF7EC0612F8}"/>
  </w:font>
  <w:font w:name="方正小标宋简体">
    <w:panose1 w:val="02000000000000000000"/>
    <w:charset w:val="86"/>
    <w:family w:val="auto"/>
    <w:pitch w:val="default"/>
    <w:sig w:usb0="00000001" w:usb1="08000000" w:usb2="00000000" w:usb3="00000000" w:csb0="00040000" w:csb1="00000000"/>
    <w:embedRegular r:id="rId3" w:fontKey="{878FF5D5-0032-457A-BB7E-E35C3A3C3E08}"/>
  </w:font>
  <w:font w:name="仿宋_GB2312">
    <w:altName w:val="仿宋"/>
    <w:panose1 w:val="02010609030101010101"/>
    <w:charset w:val="86"/>
    <w:family w:val="modern"/>
    <w:pitch w:val="default"/>
    <w:sig w:usb0="00000000" w:usb1="00000000" w:usb2="00000010" w:usb3="00000000" w:csb0="00040000" w:csb1="00000000"/>
    <w:embedRegular r:id="rId4" w:fontKey="{46ACD85E-58D1-4A2B-AF6C-56351FD32908}"/>
  </w:font>
  <w:font w:name="楷体_GB2312">
    <w:altName w:val="楷体"/>
    <w:panose1 w:val="02010609030101010101"/>
    <w:charset w:val="86"/>
    <w:family w:val="modern"/>
    <w:pitch w:val="default"/>
    <w:sig w:usb0="00000000" w:usb1="00000000" w:usb2="00000010" w:usb3="00000000" w:csb0="00040000" w:csb1="00000000"/>
    <w:embedRegular r:id="rId5" w:fontKey="{3496F9E3-2089-4F05-BE9A-B7C201AC065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3FE97847"/>
    <w:rsid w:val="02370465"/>
    <w:rsid w:val="025616A3"/>
    <w:rsid w:val="0313279F"/>
    <w:rsid w:val="03B978B6"/>
    <w:rsid w:val="04316317"/>
    <w:rsid w:val="04850D1F"/>
    <w:rsid w:val="04E24390"/>
    <w:rsid w:val="07917026"/>
    <w:rsid w:val="07DD37B4"/>
    <w:rsid w:val="08CB5FB4"/>
    <w:rsid w:val="0B431A6F"/>
    <w:rsid w:val="0C146D33"/>
    <w:rsid w:val="0D1E6F0C"/>
    <w:rsid w:val="0F4D77FD"/>
    <w:rsid w:val="0F523097"/>
    <w:rsid w:val="0F930D51"/>
    <w:rsid w:val="107F7648"/>
    <w:rsid w:val="1361379F"/>
    <w:rsid w:val="1484135C"/>
    <w:rsid w:val="166537F8"/>
    <w:rsid w:val="16BF0B34"/>
    <w:rsid w:val="1858252A"/>
    <w:rsid w:val="18E35276"/>
    <w:rsid w:val="198D7EF5"/>
    <w:rsid w:val="19A65826"/>
    <w:rsid w:val="19E11243"/>
    <w:rsid w:val="1BC870C6"/>
    <w:rsid w:val="1E982785"/>
    <w:rsid w:val="20287444"/>
    <w:rsid w:val="204A643A"/>
    <w:rsid w:val="209F74DF"/>
    <w:rsid w:val="20B00856"/>
    <w:rsid w:val="221C67E1"/>
    <w:rsid w:val="226F65D0"/>
    <w:rsid w:val="259B2B7D"/>
    <w:rsid w:val="27304F92"/>
    <w:rsid w:val="28AA3886"/>
    <w:rsid w:val="28B71C53"/>
    <w:rsid w:val="28F9084C"/>
    <w:rsid w:val="29CD0F6B"/>
    <w:rsid w:val="2C381A89"/>
    <w:rsid w:val="2CD04CB6"/>
    <w:rsid w:val="2D400A1C"/>
    <w:rsid w:val="2DDB3277"/>
    <w:rsid w:val="2E056596"/>
    <w:rsid w:val="2E7C18B2"/>
    <w:rsid w:val="2FBD5CAC"/>
    <w:rsid w:val="31054BB4"/>
    <w:rsid w:val="31EE6F8A"/>
    <w:rsid w:val="337461F7"/>
    <w:rsid w:val="348955F6"/>
    <w:rsid w:val="35A6706B"/>
    <w:rsid w:val="37616AA4"/>
    <w:rsid w:val="38894D74"/>
    <w:rsid w:val="3A34058E"/>
    <w:rsid w:val="3A3E20BF"/>
    <w:rsid w:val="3CF213E3"/>
    <w:rsid w:val="3F0A589C"/>
    <w:rsid w:val="3FE97847"/>
    <w:rsid w:val="40DA2A28"/>
    <w:rsid w:val="4160095D"/>
    <w:rsid w:val="41C95F57"/>
    <w:rsid w:val="42833D2D"/>
    <w:rsid w:val="445867F8"/>
    <w:rsid w:val="45914712"/>
    <w:rsid w:val="45E32A70"/>
    <w:rsid w:val="46981D0C"/>
    <w:rsid w:val="47652A9F"/>
    <w:rsid w:val="47A46757"/>
    <w:rsid w:val="49B17EE9"/>
    <w:rsid w:val="4A2B7297"/>
    <w:rsid w:val="4B5238A1"/>
    <w:rsid w:val="4C4D0892"/>
    <w:rsid w:val="4C9A3D27"/>
    <w:rsid w:val="50931EFB"/>
    <w:rsid w:val="517D303E"/>
    <w:rsid w:val="52626991"/>
    <w:rsid w:val="5342757E"/>
    <w:rsid w:val="53594A6A"/>
    <w:rsid w:val="56741199"/>
    <w:rsid w:val="584740EF"/>
    <w:rsid w:val="584B7DFB"/>
    <w:rsid w:val="58A4541B"/>
    <w:rsid w:val="58A70798"/>
    <w:rsid w:val="59BB7772"/>
    <w:rsid w:val="5A7E686F"/>
    <w:rsid w:val="5A9613F5"/>
    <w:rsid w:val="5AAF6D67"/>
    <w:rsid w:val="5B3136D9"/>
    <w:rsid w:val="5BE85E0B"/>
    <w:rsid w:val="5C0D3BE9"/>
    <w:rsid w:val="5E1B62BE"/>
    <w:rsid w:val="5E87295F"/>
    <w:rsid w:val="5F522A47"/>
    <w:rsid w:val="5F9F69CB"/>
    <w:rsid w:val="5FDD262B"/>
    <w:rsid w:val="5FFE53C6"/>
    <w:rsid w:val="603846CA"/>
    <w:rsid w:val="61F76818"/>
    <w:rsid w:val="62416D73"/>
    <w:rsid w:val="632E55BD"/>
    <w:rsid w:val="64CA3666"/>
    <w:rsid w:val="65634993"/>
    <w:rsid w:val="65EE6CB0"/>
    <w:rsid w:val="66394B5A"/>
    <w:rsid w:val="679F43E0"/>
    <w:rsid w:val="68626011"/>
    <w:rsid w:val="69441876"/>
    <w:rsid w:val="69E65F73"/>
    <w:rsid w:val="6ACE574B"/>
    <w:rsid w:val="6B7C6BD1"/>
    <w:rsid w:val="6C2333EC"/>
    <w:rsid w:val="6D735B06"/>
    <w:rsid w:val="6DC253C3"/>
    <w:rsid w:val="6DF61250"/>
    <w:rsid w:val="6EE61FF3"/>
    <w:rsid w:val="70290033"/>
    <w:rsid w:val="70B10DB8"/>
    <w:rsid w:val="71F265BE"/>
    <w:rsid w:val="72A0779B"/>
    <w:rsid w:val="73AA596B"/>
    <w:rsid w:val="757331A3"/>
    <w:rsid w:val="78C968E2"/>
    <w:rsid w:val="78CB25BA"/>
    <w:rsid w:val="79530C90"/>
    <w:rsid w:val="79C4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1160</Words>
  <Characters>1161</Characters>
  <Lines>0</Lines>
  <Paragraphs>0</Paragraphs>
  <TotalTime>0</TotalTime>
  <ScaleCrop>false</ScaleCrop>
  <LinksUpToDate>false</LinksUpToDate>
  <CharactersWithSpaces>1163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2022-07-29T03:44:00Z</dcterms:created>
  <dc:creator>任钰</dc:creator>
  <cp:lastModifiedBy>任钰</cp:lastModifiedBy>
  <dcterms:modified xsi:type="dcterms:W3CDTF">2022-07-29T03:44:39Z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488477B526874A57A33B365FDC893BD7</vt:lpwstr>
  </property>
</Properties>
</file>