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50"/>
        </w:tabs>
        <w:spacing w:line="59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山西省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年小麦冬前田间管理意见</w:t>
      </w:r>
    </w:p>
    <w:p>
      <w:pPr>
        <w:widowControl/>
        <w:tabs>
          <w:tab w:val="left" w:pos="1905"/>
        </w:tabs>
        <w:spacing w:line="59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ab/>
      </w:r>
    </w:p>
    <w:p>
      <w:pPr>
        <w:widowControl/>
        <w:spacing w:line="590" w:lineRule="exact"/>
        <w:ind w:firstLine="640" w:firstLineChars="200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当前，我省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小麦进入冬前田间管理关键时期。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针对今年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小麦苗情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特点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，小麦冬前田间管理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以抗旱防冻、控旺促弱为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重点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，促控结合，促根增蘖，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培育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冬前壮苗，保苗安全越冬，为明年小麦丰收打好基础。</w:t>
      </w:r>
    </w:p>
    <w:p>
      <w:pPr>
        <w:widowControl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一、当前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小麦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苗情</w:t>
      </w:r>
    </w:p>
    <w:p>
      <w:pPr>
        <w:widowControl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从近期苗情调查情况看，今年秋播麦田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适墒播种面积大，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整地播种质量好，总体上实现了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一播全苗、苗全苗齐苗壮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一二三类苗情比例为4：4：2，与上年同期相比，一类苗增加23百分点，二类苗增加22个百分点，三类苗下降45个百分点。</w:t>
      </w:r>
    </w:p>
    <w:p>
      <w:pPr>
        <w:widowControl/>
        <w:spacing w:line="59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根据气象预测，预计小麦主产区越冬前大部气温较常年偏高0.8～1.3℃，有利于弱苗转化升级，形成冬前壮苗，但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受温度偏高影响，部分早播麦田出现旺长趋势，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播量偏大的麦田有假旺苗现象。预计小麦主产区越冬前平均降水量较常年偏少约1成左右，加之气温偏高，可能会引起麦田表墒下降，影响部分晚播麦田苗情升级和冬前分蘖的形成。</w:t>
      </w:r>
    </w:p>
    <w:p>
      <w:pPr>
        <w:widowControl/>
        <w:spacing w:line="59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管理措施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针对当前小麦苗情特点和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小麦越冬前气候因素影响，采取针对性措施做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好冬前分类管理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spacing w:line="590" w:lineRule="exact"/>
        <w:ind w:firstLine="640" w:firstLineChars="20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（一）因苗因墒管理</w:t>
      </w:r>
    </w:p>
    <w:p>
      <w:pPr>
        <w:widowControl/>
        <w:spacing w:line="590" w:lineRule="exact"/>
        <w:ind w:firstLine="643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旺长麦田落实好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控旺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措施。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旺长麦田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，采取多种措施，适时控制旺长，培育壮苗。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对旺长麦田及时采取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镇压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措施。通过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镇压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抑制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地上部生长，促进根系生长，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特别是对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目前主茎叶龄已达</w:t>
      </w: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叶到</w:t>
      </w: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心，单株分蘖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个，总茎数在</w:t>
      </w:r>
      <w:r>
        <w:rPr>
          <w:rFonts w:hint="eastAsia" w:ascii="仿宋_GB2312" w:eastAsia="仿宋_GB2312"/>
          <w:color w:val="000000"/>
          <w:sz w:val="32"/>
          <w:szCs w:val="32"/>
        </w:rPr>
        <w:t>80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90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万的麦田，应选择晴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好天气立即开展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镇压，或重耙耱、深中耕等，控旺转壮。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对旺长麦田或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茎叶纤细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假旺苗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田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采取化控措施，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亩用15%多效唑可湿性粉剂30～40克，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水30公斤进行叶面喷雾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或使用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矮壮素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类药品严格按照使用说明书浓度进行叶面喷施。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eastAsia="zh-CN"/>
        </w:rPr>
        <w:t>对旺长麦田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进行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肥水控制，采取不浇或晚浇越冬水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、不追肥等措施，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控旺转壮，确保安全越冬。</w:t>
      </w:r>
    </w:p>
    <w:p>
      <w:pPr>
        <w:widowControl/>
        <w:spacing w:line="590" w:lineRule="exact"/>
        <w:ind w:firstLine="643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水地麦田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因苗浇好越冬水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小麦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玉米两熟复播麦田，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小麦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进入三叶期后应根据苗情和整地播种质量，适时适量浇好越冬水，沉实土壤，消除坷垃，增加土壤湿度平抑地温，促进玉米秸秆腐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熟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，增加冬前分蘖和次生根生长，培育冬前壮苗群体。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对于整地质量差、坷垃多，土壤翘墟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或表墒差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的麦田，冬水前移，在小麦3叶后及时开展冬前灌水，踏实土壤，促进冬前分蘖和次生根发生，培育冬前壮苗，保苗安全越冬。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适播期播种的壮苗田，可适当推迟冬浇时间，可在昼消夜冻时浇越冬水，防旺长，确保安全越冬。冬前浇水应掌握水到地头立即停水的原则，切忌灌满地垄，以防气温骤降结冰封田。宜大力推广小畦灌溉方式。灌溉后墒情适宜时应中耕划锄或轻耙松土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氮肥施用不足、出现苗黄的田块，可在冬浇或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雨（雪）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追肥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，亩追施尿素</w:t>
      </w: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7.5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公斤，促进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小麦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个体发育。</w:t>
      </w:r>
    </w:p>
    <w:p>
      <w:pPr>
        <w:widowControl/>
        <w:spacing w:line="620" w:lineRule="exact"/>
        <w:ind w:firstLine="643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旱地麦田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做好镇压耙耱保墒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旱地麦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冬前管理重点是抓好耙耱保墒、中耕提温，促弱转壮等，促进苗情升级。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对目前主茎叶龄在</w:t>
      </w: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叶到</w:t>
      </w: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心，单株分蘖</w:t>
      </w: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个，总茎数在</w:t>
      </w:r>
      <w:r>
        <w:rPr>
          <w:rFonts w:hint="eastAsia" w:ascii="仿宋_GB2312" w:eastAsia="仿宋_GB2312"/>
          <w:color w:val="000000"/>
          <w:sz w:val="32"/>
          <w:szCs w:val="32"/>
        </w:rPr>
        <w:t>60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80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万的壮苗田，在越冬前中耕锄划或轻耙耱，保墒稳壮。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对目前主茎叶龄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叶到</w:t>
      </w: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叶，单株分蘖</w:t>
      </w:r>
      <w:r>
        <w:rPr>
          <w:rFonts w:hint="eastAsia" w:ascii="仿宋_GB2312" w:eastAsia="仿宋_GB2312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个，个体较弱，总茎数在</w:t>
      </w:r>
      <w:r>
        <w:rPr>
          <w:rFonts w:hint="eastAsia" w:ascii="仿宋_GB2312" w:eastAsia="仿宋_GB2312"/>
          <w:color w:val="000000"/>
          <w:sz w:val="32"/>
          <w:szCs w:val="32"/>
        </w:rPr>
        <w:t>60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万以下的晚播麦田，尽早浅锄提温，或顺麦行踩踏镇压，促弱转壮，确保安全越冬。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施肥不足麦田，趁雨（雪）亩撒施硝酸磷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或尿素</w:t>
      </w: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公斤。</w:t>
      </w:r>
    </w:p>
    <w:p>
      <w:pPr>
        <w:spacing w:line="590" w:lineRule="exact"/>
        <w:ind w:firstLine="640" w:firstLineChars="20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（二）适时化学除草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冬前化学除草效果好、效率高，以小麦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叶至</w:t>
      </w: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叶期，杂草</w:t>
      </w: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叶期前效果最好。冬前化学除草应选择日均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温高于</w:t>
      </w:r>
      <w:r>
        <w:rPr>
          <w:rFonts w:hint="eastAsia" w:ascii="仿宋_GB2312" w:eastAsia="仿宋_GB2312"/>
          <w:color w:val="000000"/>
          <w:sz w:val="32"/>
          <w:szCs w:val="32"/>
        </w:rPr>
        <w:t>5℃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无风晴天进行。日均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温降至</w:t>
      </w:r>
      <w:r>
        <w:rPr>
          <w:rFonts w:hint="eastAsia" w:ascii="仿宋_GB2312" w:eastAsia="仿宋_GB2312"/>
          <w:color w:val="000000"/>
          <w:sz w:val="32"/>
          <w:szCs w:val="32"/>
        </w:rPr>
        <w:t>5℃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以下，禁止进行化学除草，以防药害发生。冬前没有化学除草的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麦田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可在明年春季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气温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达到</w:t>
      </w:r>
      <w:r>
        <w:rPr>
          <w:rFonts w:hint="eastAsia" w:ascii="仿宋_GB2312" w:eastAsia="仿宋_GB2312"/>
          <w:color w:val="000000"/>
          <w:sz w:val="32"/>
          <w:szCs w:val="32"/>
        </w:rPr>
        <w:t>10℃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以上时再进行。以荠菜、播娘蒿等阔叶杂草为主的麦田可选用双氟磺草胺、氯氟吡氧乙酸、苯磺隆、二甲四氯等除草剂防除；以野燕麦、看麦娘等杂草为主的麦田可选用精恶唑禾草灵等防除；以节节麦、雀麦等禾本科杂草为主的麦田可选用甲基二磺隆等防除。除草剂用量应严格按照说明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剂量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，坚决杜绝随意增加用药量，同时人工喷雾或高杆喷雾喷药时，确保亩用药液量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达到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28-</w:t>
      </w:r>
      <w:r>
        <w:rPr>
          <w:rFonts w:hint="eastAsia" w:ascii="仿宋_GB2312" w:eastAsia="仿宋_GB2312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，无人机喷药液量应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达到</w:t>
      </w: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-5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升，不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重喷漏喷。</w:t>
      </w:r>
    </w:p>
    <w:p>
      <w:pPr>
        <w:spacing w:line="590" w:lineRule="exact"/>
        <w:ind w:firstLine="640" w:firstLineChars="200"/>
        <w:rPr>
          <w:rFonts w:hint="eastAsia" w:ascii="楷体_GB2312" w:hAnsi="楷体" w:eastAsia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（三）加强病虫害防控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冬前要做好白粉病、锈病和地下害虫、麦蜘蛛、蚜虫等病虫害监测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防控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，其中旺苗田要重点监控白粉病、蚜虫，旱地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麦田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重点监控麦蜘蛛，达到防治指标，及时防治，压低越冬基数。当白粉病病叶率达到</w:t>
      </w:r>
      <w:r>
        <w:rPr>
          <w:rFonts w:hint="eastAsia" w:ascii="仿宋_GB2312" w:eastAsia="仿宋_GB2312"/>
          <w:color w:val="000000"/>
          <w:sz w:val="32"/>
          <w:szCs w:val="32"/>
        </w:rPr>
        <w:t>10％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时或条锈病病叶率达到</w:t>
      </w:r>
      <w:r>
        <w:rPr>
          <w:rFonts w:hint="eastAsia" w:ascii="仿宋_GB2312" w:eastAsia="仿宋_GB2312"/>
          <w:color w:val="000000"/>
          <w:sz w:val="32"/>
          <w:szCs w:val="32"/>
        </w:rPr>
        <w:t>0.5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～</w:t>
      </w:r>
      <w:r>
        <w:rPr>
          <w:rFonts w:hint="eastAsia" w:ascii="仿宋_GB2312" w:eastAsia="仿宋_GB2312"/>
          <w:color w:val="000000"/>
          <w:sz w:val="32"/>
          <w:szCs w:val="32"/>
        </w:rPr>
        <w:t>1％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，选用三唑酮或烯唑醇、戊唑醇，对水均匀喷雾防治。条锈病防治坚持“发现一点，防治一片”的原则，通过带药巡查，发现中心病株，立即喷药防治。当百株小麦的麦蚜数量达</w:t>
      </w:r>
      <w:r>
        <w:rPr>
          <w:rFonts w:hint="eastAsia" w:ascii="仿宋_GB2312" w:eastAsia="仿宋_GB2312"/>
          <w:color w:val="000000"/>
          <w:sz w:val="32"/>
          <w:szCs w:val="32"/>
        </w:rPr>
        <w:t>500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头时，应选用啶虫脒或吡虫啉、抗蚜威对水喷雾防治，兼治小麦红蜘蛛。当每</w:t>
      </w:r>
      <w:r>
        <w:rPr>
          <w:rFonts w:hint="eastAsia" w:ascii="仿宋_GB2312" w:eastAsia="仿宋_GB2312"/>
          <w:color w:val="000000"/>
          <w:sz w:val="32"/>
          <w:szCs w:val="32"/>
        </w:rPr>
        <w:t>33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厘米行长小麦蜘蛛数量达</w:t>
      </w:r>
      <w:r>
        <w:rPr>
          <w:rFonts w:hint="eastAsia" w:ascii="仿宋_GB2312" w:eastAsia="仿宋_GB2312"/>
          <w:color w:val="000000"/>
          <w:sz w:val="32"/>
          <w:szCs w:val="32"/>
        </w:rPr>
        <w:t>200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头时，用阿维菌素或马拉·辛硫磷混剂对水喷雾防治。地下害虫危害较重的麦田，可用甲基异柳磷或辛硫磷灌根防治。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（四）预防冬季冻害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气象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预测，今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年越冬期可能仍会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受到“三重”拉尼娜天气的影响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，气温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可能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偏低，小麦发生冻害机率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，应密切关注天气变化，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强降温天气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到来前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，及早浇水防冻。晚播弱苗田可采用撒施腐熟农家肥、泼施沼液肥等措施预防冻害。一旦发生冻害，应根据冻害程度、苗情等，采取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叶面喷施磷酸二氢钾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尿素并适当配施芸苔素内脂等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措施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健壮个体，增强抗逆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eastAsia="zh-CN"/>
        </w:rPr>
        <w:t>能力，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有效缓解冻害。</w:t>
      </w:r>
    </w:p>
    <w:p>
      <w:pPr>
        <w:widowControl/>
        <w:spacing w:line="590" w:lineRule="exact"/>
        <w:ind w:firstLine="643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（五）严</w:t>
      </w:r>
      <w:r>
        <w:rPr>
          <w:rFonts w:hint="eastAsia" w:ascii="楷体_GB2312" w:hAnsi="楷体" w:eastAsia="楷体_GB2312"/>
          <w:color w:val="000000"/>
          <w:sz w:val="32"/>
          <w:szCs w:val="32"/>
          <w:lang w:eastAsia="zh-CN"/>
        </w:rPr>
        <w:t>防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畜禽啃青 </w:t>
      </w:r>
      <w:r>
        <w:rPr>
          <w:rFonts w:hint="eastAsia" w:eastAsia="仿宋_GB2312" w:cs="Calibri"/>
          <w:color w:val="000000"/>
          <w:kern w:val="0"/>
          <w:sz w:val="32"/>
          <w:szCs w:val="32"/>
        </w:rPr>
        <w:t> </w:t>
      </w:r>
    </w:p>
    <w:p>
      <w:pPr>
        <w:rPr>
          <w:rFonts w:hint="eastAsia" w:eastAsia="仿宋_GB2312"/>
          <w:lang w:val="en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畜禽啃青会造成小麦植株光合绿叶面积减少，分蘖节外露，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容易发生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冻害，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影响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安全越冬，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同时引起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春季苗弱，影响后期分蘖成穗和穗分化，导致分蘖成穗率降低，穗粒数减少，影响产量。墒情差、土壤疏松的麦田，畜禽啃食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将麦苗连根拔出，造成缺苗断垄，根系外露，造成冻害死苗，即使及时浇水、施肥补救，也会造成穗数和粒数减少，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导致大幅度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减产。因此各地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加大宣传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防护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力度，严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防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畜禽啃青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AR PL UKai C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CC2D"/>
    <w:rsid w:val="6EFEC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2022-11-23T14:50:00Z</dcterms:created>
  <dc:creator>huawei</dc:creator>
  <cp:lastModifiedBy>huawei</cp:lastModifiedBy>
  <dcterms:modified xsi:type="dcterms:W3CDTF">2022-11-23T14:50:22Z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