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兽用抗菌药使用减量化行动报名要求</w:t>
      </w:r>
    </w:p>
    <w:p>
      <w:pPr>
        <w:pStyle w:val="2"/>
        <w:rPr>
          <w:rFonts w:hint="eastAsia"/>
        </w:rPr>
      </w:pPr>
    </w:p>
    <w:p>
      <w:pPr>
        <w:spacing w:line="590" w:lineRule="exact"/>
        <w:ind w:firstLine="656" w:firstLineChars="20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一、报名条件</w:t>
      </w:r>
    </w:p>
    <w:p>
      <w:pPr>
        <w:spacing w:line="590" w:lineRule="exact"/>
        <w:ind w:firstLine="656" w:firstLineChars="205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（一）资质条件方面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同时具备以下条件的养殖场，可自愿报名参加减量化行动。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在工商行政管理部门正式登记注册，具有独立法人资格。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具有兽医技术人员，配备相对固定的执业兽医师。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从事蛋鸡、肉鸡、肉鸭、生猪、奶牛、肉牛、肉羊、肉兔、奶山羊等商品代畜禽养殖。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产蛋鸡存栏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万只以上；肉鸡年出栏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万只以上；肉鸭年出栏10万只以上；生猪年出栏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万头以上；成母奶牛存栏</w:t>
      </w:r>
      <w:r>
        <w:rPr>
          <w:rFonts w:ascii="仿宋_GB2312" w:hAnsi="宋体" w:eastAsia="仿宋_GB2312"/>
          <w:sz w:val="32"/>
          <w:szCs w:val="32"/>
        </w:rPr>
        <w:t>1000</w:t>
      </w:r>
      <w:r>
        <w:rPr>
          <w:rFonts w:hint="eastAsia" w:ascii="仿宋_GB2312" w:hAnsi="宋体" w:eastAsia="仿宋_GB2312"/>
          <w:sz w:val="32"/>
          <w:szCs w:val="32"/>
        </w:rPr>
        <w:t>头以上；肉牛年出栏</w:t>
      </w:r>
      <w:r>
        <w:rPr>
          <w:rFonts w:ascii="仿宋_GB2312" w:hAnsi="宋体" w:eastAsia="仿宋_GB2312"/>
          <w:sz w:val="32"/>
          <w:szCs w:val="32"/>
        </w:rPr>
        <w:t>5000</w:t>
      </w:r>
      <w:r>
        <w:rPr>
          <w:rFonts w:hint="eastAsia" w:ascii="仿宋_GB2312" w:hAnsi="宋体" w:eastAsia="仿宋_GB2312"/>
          <w:sz w:val="32"/>
          <w:szCs w:val="32"/>
        </w:rPr>
        <w:t>头以上；肉羊年出栏</w:t>
      </w:r>
      <w:r>
        <w:rPr>
          <w:rFonts w:ascii="仿宋_GB2312" w:hAnsi="宋体" w:eastAsia="仿宋_GB2312"/>
          <w:sz w:val="32"/>
          <w:szCs w:val="32"/>
        </w:rPr>
        <w:t>5000</w:t>
      </w:r>
      <w:r>
        <w:rPr>
          <w:rFonts w:hint="eastAsia" w:ascii="仿宋_GB2312" w:hAnsi="宋体" w:eastAsia="仿宋_GB2312"/>
          <w:sz w:val="32"/>
          <w:szCs w:val="32"/>
        </w:rPr>
        <w:t>只以上；肉兔年出栏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万只以上；奶山羊存栏</w:t>
      </w:r>
      <w:r>
        <w:rPr>
          <w:rFonts w:ascii="仿宋_GB2312" w:hAnsi="宋体" w:eastAsia="仿宋_GB2312"/>
          <w:sz w:val="32"/>
          <w:szCs w:val="32"/>
        </w:rPr>
        <w:t>1000</w:t>
      </w:r>
      <w:r>
        <w:rPr>
          <w:rFonts w:hint="eastAsia" w:ascii="仿宋_GB2312" w:hAnsi="宋体" w:eastAsia="仿宋_GB2312"/>
          <w:sz w:val="32"/>
          <w:szCs w:val="32"/>
        </w:rPr>
        <w:t>只以上。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具备《动物防疫条件合格证》，3年内未发生重大动物疫病，未发生畜禽产品质量安全事件。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符合《畜禽规模养殖污染防治条例》要求。</w:t>
      </w:r>
    </w:p>
    <w:p>
      <w:pPr>
        <w:spacing w:line="590" w:lineRule="exact"/>
        <w:ind w:firstLine="659" w:firstLineChars="206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（二）防疫管理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饲料、兽药等不同类型的投入品分类分开储藏，设施设备完善，储藏标识清晰。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场区入口有车辆、人员消毒池，生产区入口有更衣消毒室。</w:t>
      </w:r>
    </w:p>
    <w:p>
      <w:pPr>
        <w:spacing w:line="59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具有一定功能的兽医室。</w:t>
      </w:r>
    </w:p>
    <w:p>
      <w:pPr>
        <w:spacing w:line="560" w:lineRule="exact"/>
        <w:ind w:firstLine="659" w:firstLineChars="206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（三）管理制度与记录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具有完善的管理制度和制度执行的完整记录。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具有县级以上兽医行政主管部门备案登记证明；按照农业农村部《畜禽标识和养殖档案管理办法》要求，建立养殖档案（包括生产、消毒、免疫、抗体监测、解剖、无害化处理、预防和治疗使用兽药等记录）。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所用饲料及饲料添加剂应符合《饲料及饲料添加剂管理条例》，具有饲料使用的连续记录。无论是自配或外购饲料须提供不同饲养阶段所用饲料的营养成分表。其中应有促生长剂（包括药物饲料添加剂、添加药物饲料添加剂的商品饲料）等相关品种的名称和使用量的记录。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所用兽药应符合《兽药管理条例》等法律法规要求，具有完整的兽药使用记录和兽用处方药使用记录。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二、资料清单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（一）养殖场基本信息(表一)、报名信息(表二)一式2份；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（二）有效的《养殖场法人营业执照》或其他相关许可经营资质证书的复印件；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（三）《动物防疫条件合格证》复印件；</w:t>
      </w:r>
    </w:p>
    <w:p>
      <w:pPr>
        <w:spacing w:line="560" w:lineRule="exact"/>
        <w:ind w:firstLine="659" w:firstLineChars="20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（四）养殖场2019年、2020年兽用抗菌药（含药物饲料添加剂）使用基本情况，包括使用品种、来源、数量（制剂换算为原料药重量，单位为公斤）；</w:t>
      </w:r>
    </w:p>
    <w:p>
      <w:pPr>
        <w:spacing w:line="560" w:lineRule="exact"/>
        <w:ind w:firstLine="659" w:firstLineChars="206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14" w:right="1531" w:bottom="1757" w:left="1531" w:header="851" w:footer="1701" w:gutter="0"/>
          <w:pgNumType w:fmt="numberInDash"/>
          <w:cols w:space="720" w:num="1"/>
          <w:docGrid w:linePitch="634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（五）养殖场未来5年兽用抗菌药减量使用的目标和兽药使用管理计划。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</w:p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52A64"/>
    <w:rsid w:val="172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ascii="Calibri" w:hAnsi="Calibri" w:eastAsia="楷体" w:cs="Times New Roman"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2021-10-19T09:12:00Z</dcterms:created>
  <dc:creator>unknown</dc:creator>
  <cp:lastModifiedBy>unknown</cp:lastModifiedBy>
  <dcterms:modified xsi:type="dcterms:W3CDTF">2021-10-19T09:16:15Z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