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240" w:beforeLines="100" w:line="590" w:lineRule="exact"/>
        <w:jc w:val="center"/>
        <w:outlineLvl w:val="0"/>
        <w:rPr>
          <w:rFonts w:eastAsia="方正小标宋简体"/>
          <w:kern w:val="44"/>
          <w:sz w:val="44"/>
          <w:szCs w:val="48"/>
        </w:rPr>
      </w:pPr>
      <w:r>
        <w:rPr>
          <w:rFonts w:eastAsia="方正小标宋简体"/>
          <w:kern w:val="44"/>
          <w:sz w:val="44"/>
          <w:szCs w:val="48"/>
        </w:rPr>
        <w:t>养殖场兽用抗</w:t>
      </w:r>
      <w:r>
        <w:rPr>
          <w:rFonts w:hint="eastAsia" w:eastAsia="方正小标宋简体"/>
          <w:kern w:val="44"/>
          <w:sz w:val="44"/>
          <w:szCs w:val="48"/>
        </w:rPr>
        <w:t>菌</w:t>
      </w:r>
      <w:r>
        <w:rPr>
          <w:rFonts w:eastAsia="方正小标宋简体"/>
          <w:kern w:val="44"/>
          <w:sz w:val="44"/>
          <w:szCs w:val="48"/>
        </w:rPr>
        <w:t>药使用减量化效果评价</w:t>
      </w:r>
    </w:p>
    <w:p>
      <w:pPr>
        <w:spacing w:after="240" w:afterLines="100" w:line="590" w:lineRule="exact"/>
        <w:jc w:val="center"/>
        <w:outlineLvl w:val="0"/>
        <w:rPr>
          <w:rFonts w:eastAsia="方正小标宋简体"/>
          <w:kern w:val="44"/>
          <w:sz w:val="44"/>
          <w:szCs w:val="48"/>
        </w:rPr>
      </w:pPr>
      <w:r>
        <w:rPr>
          <w:rFonts w:eastAsia="方正小标宋简体"/>
          <w:kern w:val="44"/>
          <w:sz w:val="44"/>
          <w:szCs w:val="48"/>
        </w:rPr>
        <w:t>方法和标准（试行）</w:t>
      </w:r>
    </w:p>
    <w:p>
      <w:pPr>
        <w:spacing w:line="59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一、评价主要内容和方法</w:t>
      </w:r>
    </w:p>
    <w:p>
      <w:pPr>
        <w:keepNext/>
        <w:keepLines/>
        <w:spacing w:line="590" w:lineRule="exact"/>
        <w:ind w:firstLine="640" w:firstLineChars="200"/>
        <w:outlineLvl w:val="2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（一）主要内容</w:t>
      </w:r>
    </w:p>
    <w:p>
      <w:pPr>
        <w:spacing w:line="590" w:lineRule="exact"/>
        <w:ind w:firstLine="616" w:firstLineChars="200"/>
        <w:jc w:val="left"/>
        <w:rPr>
          <w:rFonts w:ascii="仿宋_GB2312" w:hAnsi="仿宋_GB2312" w:eastAsia="仿宋_GB2312" w:cs="仿宋_GB2312"/>
          <w:spacing w:val="-6"/>
          <w:sz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</w:rPr>
        <w:t>1.养殖场应具备的基本条件，包括兽医人员或兽医技术服务及其技术水平、药品储存条件、消毒及环境卫生条件、粪污处理等。</w:t>
      </w:r>
    </w:p>
    <w:p>
      <w:pPr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2.养殖场应建立基本的管理制度，包括生物安全保障、兽药供应商评估、兽药库存管理、兽医诊断用药管理、记录管理、消毒和环境卫生管理、防疫和免疫管理、无害化处理等。</w:t>
      </w:r>
    </w:p>
    <w:p>
      <w:pPr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3.养殖场应建立完善的兽药使用记录，并妥善保存。</w:t>
      </w:r>
    </w:p>
    <w:p>
      <w:pPr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</w:rPr>
        <w:t>4.按单位畜禽产品产出计算，抗菌药的使用量应控制在一定水平，行动前后同期环比应有所减少</w:t>
      </w:r>
      <w:r>
        <w:rPr>
          <w:rFonts w:hint="eastAsia" w:ascii="仿宋_GB2312" w:hAnsi="仿宋_GB2312" w:eastAsia="仿宋_GB2312" w:cs="仿宋_GB2312"/>
          <w:sz w:val="32"/>
          <w:szCs w:val="30"/>
        </w:rPr>
        <w:t>。</w:t>
      </w:r>
    </w:p>
    <w:p>
      <w:pPr>
        <w:keepNext/>
        <w:keepLines/>
        <w:spacing w:line="590" w:lineRule="exact"/>
        <w:ind w:firstLine="640" w:firstLineChars="200"/>
        <w:jc w:val="left"/>
        <w:outlineLvl w:val="2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（二）评价方法</w:t>
      </w:r>
    </w:p>
    <w:p>
      <w:pPr>
        <w:spacing w:line="590" w:lineRule="exac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</w:rPr>
        <w:t>养殖场减量行动评价方法，包括现场检查和材料审查。对用药记录不完整、不准确或不一致而无法形成评价结论的，暂不做出评价。</w:t>
      </w:r>
    </w:p>
    <w:p>
      <w:pPr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1.现场检查。查看养殖场环境卫生、消毒、库房及饲料配制间、药房、兽医室、畜禽舍、粪污处理等情况。</w:t>
      </w:r>
    </w:p>
    <w:p>
      <w:pPr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2.材料审査。审查企业及验收申报材料、养殖场制度记录、档案等。</w:t>
      </w:r>
    </w:p>
    <w:p>
      <w:pPr>
        <w:keepNext/>
        <w:keepLines/>
        <w:spacing w:line="59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二、减量行动效果评价标准</w:t>
      </w:r>
    </w:p>
    <w:p>
      <w:pPr>
        <w:spacing w:line="590" w:lineRule="exact"/>
        <w:ind w:firstLine="640" w:firstLineChars="200"/>
        <w:rPr>
          <w:rFonts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养殖场量行动效果评价标准，包括四个方面30项条款。经检査、赋分和评价，总分不低于80分的，推荐为“达标”；低于80分的，暂不做推荐。</w:t>
      </w:r>
    </w:p>
    <w:p>
      <w:pPr>
        <w:keepNext/>
        <w:keepLines/>
        <w:spacing w:line="590" w:lineRule="exact"/>
        <w:ind w:firstLine="640" w:firstLineChars="200"/>
        <w:outlineLvl w:val="2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（一）养殖场基本条件（共25分）</w:t>
      </w:r>
    </w:p>
    <w:p>
      <w:pPr>
        <w:keepNext/>
        <w:keepLines/>
        <w:spacing w:line="590" w:lineRule="exact"/>
        <w:ind w:firstLine="643" w:firstLineChars="200"/>
        <w:outlineLvl w:val="3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1.兽医人员及兽医技术服务（10分）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（1）兽医人员配备或兽医技术服务保障情况。（3-5分）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基本要求:养殖场一般应配备执业兽医或中专以上兽医专业人员，或应有其他稳定、可靠的兽医技术服务。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（2）兽医人员应具有相应的诊疗能力。（2-3分）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基本要求:兽医人员应具备依据动物行为表现、发病症状、临床检査和必要的病理剖检等做出初步诊断能力。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兽医人员合理使用抗菌药的水平和能力。（不超过2分）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基本要求:兽医人员能依据动物发病状况、用药指征和药物敏感性结果合理选择抗菌药并制定用药方案。</w:t>
      </w:r>
    </w:p>
    <w:p>
      <w:pPr>
        <w:keepNext/>
        <w:keepLines/>
        <w:spacing w:line="590" w:lineRule="exact"/>
        <w:ind w:firstLine="643" w:firstLineChars="200"/>
        <w:outlineLvl w:val="3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2.兽医诊疗条件（7分）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（1）具备兽医诊疗场所及必要的兽医诊疗设施设备（不超过2分）基本要求:养殖场一般应设有兽医人员办公及诊疗、化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验的场所，应配备与开展一般诊疗、化验工作相适应的设施、设备。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（2）具备一定诊疗、化验工作能力（不超过3分）基本要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求:能够开展常规的临床检验、生化检验和必要的血清学检验工作。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（3）具备必要的病理学诊断和药敏试验能力或相关技术服务。（不超过2分）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基本要求:能够开展病理学诊断、抗菌药敏感性试验包括社会化技术服务，并能将相关试验结果用于指导选择用药。</w:t>
      </w:r>
    </w:p>
    <w:p>
      <w:pPr>
        <w:keepNext/>
        <w:keepLines/>
        <w:spacing w:line="590" w:lineRule="exact"/>
        <w:ind w:firstLine="643" w:firstLineChars="200"/>
        <w:outlineLvl w:val="3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3.兽药储存条件（2分）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应具备必要的药物储存场所，能满足药物的储存条件（不超过2分）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基本要求:一般应设有温度可控的、独立的药房（或与库房一体）及冰柜等设施，以保证储存药品的质量。</w:t>
      </w:r>
    </w:p>
    <w:p>
      <w:pPr>
        <w:keepNext/>
        <w:keepLines/>
        <w:spacing w:line="590" w:lineRule="exact"/>
        <w:ind w:firstLine="643" w:firstLineChars="200"/>
        <w:outlineLvl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4.生物安全保障（6分）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（1）养殖场选址与内部区划隔离应科学合理，能对畜禽舍环境进行控制。（不超过3分）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基本要求:养殖场与交通干线、居民区、屠宰场及其他养殖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场有一定距离;场区内净道与污道无交叉;能有效控制畜禽舍环境。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（2）具备可靠的消毒设施。（不超过2分）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基本要求：车辆、人员通道，生产区入口，畜禽舍入口等关键位置均应设有消毒设施。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（3）有可靠的粪污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及病死动物无害化处理设施。（不超过1分）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基本要求：应有行之有效的粪污清理设施，能保证畜舍及场区整洁；有病死动物无害化处理的设施。</w:t>
      </w:r>
    </w:p>
    <w:p>
      <w:pPr>
        <w:keepNext/>
        <w:keepLines/>
        <w:spacing w:line="590" w:lineRule="exact"/>
        <w:ind w:firstLine="640" w:firstLineChars="200"/>
        <w:outlineLvl w:val="2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（二）养殖场基本制度（共15分）</w:t>
      </w:r>
    </w:p>
    <w:p>
      <w:pPr>
        <w:keepNext/>
        <w:keepLines/>
        <w:spacing w:line="590" w:lineRule="exact"/>
        <w:ind w:firstLine="643" w:firstLineChars="200"/>
        <w:outlineLvl w:val="3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1.生物安全管理制度（3分）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基本要求：应有生物安全管理制度；基本内容包括车辆、人员、物料进出管理，动物引进，消毒管理，环境卫生，饲养员管理，免疫计划落实，病死动物剖检及无害化处理等。</w:t>
      </w:r>
    </w:p>
    <w:p>
      <w:pPr>
        <w:keepNext/>
        <w:keepLines/>
        <w:spacing w:line="590" w:lineRule="exact"/>
        <w:ind w:firstLine="643" w:firstLineChars="200"/>
        <w:outlineLvl w:val="3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ascii="仿宋_GB2312" w:hAnsi="仿宋_GB2312" w:eastAsia="仿宋_GB2312" w:cs="仿宋_GB2312"/>
          <w:b/>
          <w:bCs/>
          <w:sz w:val="32"/>
          <w:szCs w:val="28"/>
        </w:rPr>
        <w:t>2.兽药供应商评估制度（2分）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基本要求：应有兽药供应商评估制度，基本内容包括不同供应商产品质量、疗效、性价比及不良反应等的评价。</w:t>
      </w:r>
    </w:p>
    <w:p>
      <w:pPr>
        <w:keepNext/>
        <w:keepLines/>
        <w:spacing w:line="590" w:lineRule="exact"/>
        <w:ind w:firstLine="643" w:firstLineChars="200"/>
        <w:outlineLvl w:val="3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ascii="仿宋_GB2312" w:hAnsi="仿宋_GB2312" w:eastAsia="仿宋_GB2312" w:cs="仿宋_GB2312"/>
          <w:b/>
          <w:bCs/>
          <w:sz w:val="32"/>
          <w:szCs w:val="28"/>
        </w:rPr>
        <w:t>3.兽药出入库管理制度（2分）</w:t>
      </w:r>
    </w:p>
    <w:p>
      <w:pPr>
        <w:widowControl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基本要求：应有兽药出入库管理制度，基本内容包括出入库登记、分别按流水和品种建账、凭单出入库及凭证存档、定期盘库、盘存账物平衡、上传二维码、抗菌药（包括加药饲料）专账管理等。</w:t>
      </w:r>
    </w:p>
    <w:p>
      <w:pPr>
        <w:widowControl/>
        <w:spacing w:line="59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4.兽医诊断与用药制度（3分）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基本要求：应有兽医诊断与用药制度，基本内容包括兽医岗位职责、兽医工作规范、国家制度落实（禁用药管理、处方药管理、兽医处方管理、休药期管理）以及规范用药相关内容。</w:t>
      </w:r>
    </w:p>
    <w:p>
      <w:pPr>
        <w:keepNext/>
        <w:keepLines/>
        <w:spacing w:line="590" w:lineRule="exact"/>
        <w:ind w:firstLine="643" w:firstLineChars="200"/>
        <w:outlineLvl w:val="3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ascii="仿宋_GB2312" w:hAnsi="仿宋_GB2312" w:eastAsia="仿宋_GB2312" w:cs="仿宋_GB2312"/>
          <w:b/>
          <w:bCs/>
          <w:sz w:val="32"/>
          <w:szCs w:val="28"/>
        </w:rPr>
        <w:t>5.记录制度（3分）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要求：应有记录制度，基本内容至少包括三个方面，一是明确应建立记录的岗位、环节、事件，二是保证记录准确性和真实性，要求做到可查找、可统计、可追溯，三是记录管理，如责任人签名、存档时间等。</w:t>
      </w:r>
    </w:p>
    <w:p>
      <w:pPr>
        <w:keepNext/>
        <w:keepLines/>
        <w:spacing w:line="590" w:lineRule="exact"/>
        <w:ind w:firstLine="643" w:firstLineChars="200"/>
        <w:outlineLvl w:val="3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ascii="仿宋_GB2312" w:hAnsi="仿宋_GB2312" w:eastAsia="仿宋_GB2312" w:cs="仿宋_GB2312"/>
          <w:b/>
          <w:bCs/>
          <w:sz w:val="32"/>
          <w:szCs w:val="28"/>
        </w:rPr>
        <w:t>6.其他制度（2分）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基本要求：除上述制度外，还应其他配套的制度，如卫生制度、免疫接种制度、饲料及饲料加工、档案管理等。</w:t>
      </w:r>
    </w:p>
    <w:p>
      <w:pPr>
        <w:keepNext/>
        <w:keepLines/>
        <w:spacing w:line="620" w:lineRule="exact"/>
        <w:ind w:firstLine="640" w:firstLineChars="200"/>
        <w:outlineLvl w:val="2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（三）相关记录（共30分）</w:t>
      </w:r>
    </w:p>
    <w:p>
      <w:pPr>
        <w:spacing w:line="6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1.兽用抗菌药出入库记录（6分）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：评价时段内，所有兽用抗菌药（包括加药饲料）的购入、领用及库存，均应有完整的记录（2分）；记录内容应包括兽药通用名称、含量规格、数量、批准文号、生产批号、生产企业名称等（2分）；应做到账物平衡（2分）</w:t>
      </w:r>
      <w:r>
        <w:rPr>
          <w:rFonts w:eastAsia="仿宋_GB2312"/>
          <w:sz w:val="32"/>
          <w:szCs w:val="32"/>
        </w:rPr>
        <w:t>。</w:t>
      </w:r>
    </w:p>
    <w:p>
      <w:pPr>
        <w:spacing w:line="6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2.兽医诊疗记录（10分）</w:t>
      </w:r>
    </w:p>
    <w:p>
      <w:pPr>
        <w:spacing w:line="620" w:lineRule="exact"/>
        <w:ind w:firstLine="664" w:firstLineChars="200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基本要求：评价时段内，治疗性用药均应有完整的兽医诊疗记录（4分）；记录内容主要包括动物疾病症状、检查、诊断、用药及转归情况（2分）；病死动物或典型病例剖检记录，包括大体剖检和必要的病理解剖学检查（2分）；药物敏感性试验记录（1分）；抗菌药的使用应有兽医处方记录，包括用药对象及其数量、诊断结果、兽药名称、剂量、疗程和必要的休药期提示（1分）。</w:t>
      </w:r>
    </w:p>
    <w:p>
      <w:pPr>
        <w:spacing w:line="6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3.用药记录（10分）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基本要求：应有完整的用药记录，重点是兽用抗菌药，包括加药饲料（5分）；用药记录应详实，应具体到品种、规格、使用量和用药次数，且与兽医处方、药房用药记录一致（5分）。</w:t>
      </w:r>
    </w:p>
    <w:p>
      <w:pPr>
        <w:spacing w:line="6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4.其他记录（4分）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基本要求：其他相关记录，如环境卫生、消毒、人员及车辆出入、疫苗接种等等，各项管理制度能得到有效的落实。</w:t>
      </w:r>
    </w:p>
    <w:p>
      <w:pPr>
        <w:keepNext/>
        <w:keepLines/>
        <w:spacing w:line="590" w:lineRule="exact"/>
        <w:ind w:firstLine="640" w:firstLineChars="200"/>
        <w:outlineLvl w:val="2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（四）减量行动效果（共30分）</w:t>
      </w:r>
    </w:p>
    <w:p>
      <w:pPr>
        <w:spacing w:line="59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1.单位畜禽产品抗菌药的使用量（以下简称单位产品用药量）应控制在规定水平（10分）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：按每生产1吨畜禽产品（毛重）抗菌药的使用量计算，应分别控制在鸡蛋100g，肉鸡、肉鸭100g（生长期不超过60天）或120g（生长期超过60天），生猪150g，肉羊、肉牛100g，牛奶50g以内。达到上述标准的，得10分；处于上述标准120%以内的，得6分；处于上述标准120-150%以内的，得3分；处于上述标准150%以上的，得0分。</w:t>
      </w:r>
    </w:p>
    <w:p>
      <w:pPr>
        <w:spacing w:line="590" w:lineRule="exact"/>
        <w:ind w:firstLine="643" w:firstLineChars="200"/>
        <w:rPr>
          <w:rFonts w:ascii="仿宋_GB2312" w:hAnsi="仿宋_GB2312" w:eastAsia="仿宋_GB2312" w:cs="仿宋_GB2312"/>
          <w:b/>
          <w:bCs/>
          <w:spacing w:val="-11"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2.减量行动</w:t>
      </w:r>
      <w:r>
        <w:rPr>
          <w:rFonts w:hint="eastAsia" w:ascii="仿宋_GB2312" w:hAnsi="仿宋_GB2312" w:eastAsia="仿宋_GB2312" w:cs="仿宋_GB2312"/>
          <w:b/>
          <w:bCs/>
          <w:spacing w:val="-11"/>
          <w:sz w:val="32"/>
          <w:szCs w:val="28"/>
        </w:rPr>
        <w:t>前后对比，单位产品用药量应有所降低（10分）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：单位产品用药量达到4.1款规定标准的，得10分；否则，根据行动前后用药量同比降低幅度赋分，其中降低25%以上的，得10分；降低20%-25%的，得8分；降低15-20%的，得6分；降低10-15%的，得4分；降低5-10%的，得2分；降低5%以下的，得0分。</w:t>
      </w:r>
    </w:p>
    <w:p>
      <w:pPr>
        <w:spacing w:line="59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.养殖场积极减抗行动，主动制定减量行动方案，并定期开展自查自评（10分）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（1）制定三年减抗方案并积极组织实施。（不超过3分）基本要求：制定三年减抗方案并能够积极组织实施，定期开展自查和自我评价。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（2）行动前后养殖效益的对比。（不超过3分）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基本要求：对行动前后一定时段内（各12个月以上），养殖场死淘率、主要疾病的发病率、用药成本等情况进行比较分析。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（3）减抗经验及具体措施的总结。（不超过4分）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基本要求：中药产品、免疫增强剂或其他替代产品或措施实施情况；对于自繁自养以及出售仔、雏的养殖场，应提供种畜禽养殖及仔雏产出数量、兽用抗菌药使用情况的分析总结报告。 </w:t>
      </w:r>
    </w:p>
    <w:p>
      <w:pPr>
        <w:spacing w:line="59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附录：单位畜禽产品抗菌药使用量的计算方法</w:t>
      </w:r>
    </w:p>
    <w:p>
      <w:pPr>
        <w:spacing w:line="59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</w:p>
    <w:p>
      <w:pPr>
        <w:spacing w:line="59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</w:t>
      </w:r>
    </w:p>
    <w:p>
      <w:pPr>
        <w:spacing w:before="240" w:beforeLines="100" w:after="240" w:afterLines="100" w:line="590" w:lineRule="exact"/>
        <w:ind w:firstLine="440" w:firstLineChars="100"/>
        <w:jc w:val="center"/>
        <w:outlineLvl w:val="0"/>
        <w:rPr>
          <w:b/>
          <w:bCs/>
          <w:kern w:val="44"/>
          <w:sz w:val="44"/>
          <w:szCs w:val="48"/>
        </w:rPr>
      </w:pPr>
      <w:r>
        <w:rPr>
          <w:rFonts w:eastAsia="方正小标宋简体"/>
          <w:kern w:val="44"/>
          <w:sz w:val="44"/>
          <w:szCs w:val="48"/>
        </w:rPr>
        <w:t>单位畜禽产品抗菌药使用量的计算方法</w:t>
      </w:r>
    </w:p>
    <w:p>
      <w:pPr>
        <w:keepNext/>
        <w:keepLines/>
        <w:spacing w:line="59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一、兽用抗菌药使用量的计算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首先核实考察年度内养殖记录、兽医诊疗记录中反映的抗菌药使用品种、用量与进出库记录反映情况的一致性。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在养殖记录、兽医诊疗记录和药房进出库记录抗菌药使用信息一致的前提下，汇总考察年度内兽用抗菌药的总用量（按制剂规格折合成原料药使用量）。</w:t>
      </w:r>
    </w:p>
    <w:p>
      <w:pPr>
        <w:keepNext/>
        <w:keepLines/>
        <w:spacing w:line="590" w:lineRule="exact"/>
        <w:ind w:firstLine="640" w:firstLineChars="200"/>
        <w:outlineLvl w:val="2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（一）经兽医处方兽用抗菌药使用量</w:t>
      </w:r>
    </w:p>
    <w:tbl>
      <w:tblPr>
        <w:tblStyle w:val="3"/>
        <w:tblpPr w:leftFromText="180" w:rightFromText="180" w:vertAnchor="text" w:horzAnchor="page" w:tblpXSpec="center" w:tblpY="1574"/>
        <w:tblOverlap w:val="never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马丽娜" w:date="2021-10-15T09:18:00Z">
          <w:tblPr>
            <w:tblStyle w:val="3"/>
            <w:tblpPr w:leftFromText="180" w:rightFromText="180" w:vertAnchor="text" w:horzAnchor="page" w:tblpX="1630" w:tblpY="1574"/>
            <w:tblOverlap w:val="never"/>
            <w:tblW w:w="8805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3645"/>
        <w:gridCol w:w="1980"/>
        <w:gridCol w:w="1305"/>
        <w:gridCol w:w="1875"/>
        <w:tblGridChange w:id="1">
          <w:tblGrid>
            <w:gridCol w:w="3645"/>
            <w:gridCol w:w="1980"/>
            <w:gridCol w:w="1305"/>
            <w:gridCol w:w="187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" w:author="马丽娜" w:date="2021-10-15T09:18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70" w:hRule="atLeast"/>
          <w:jc w:val="center"/>
          <w:trPrChange w:id="2" w:author="马丽娜" w:date="2021-10-15T09:18:00Z">
            <w:trPr>
              <w:trHeight w:val="870" w:hRule="atLeast"/>
              <w:jc w:val="center"/>
            </w:trPr>
          </w:trPrChange>
        </w:trPr>
        <w:tc>
          <w:tcPr>
            <w:tcW w:w="3645" w:type="dxa"/>
            <w:noWrap w:val="0"/>
            <w:vAlign w:val="center"/>
            <w:tcPrChange w:id="3" w:author="马丽娜" w:date="2021-10-15T09:18:00Z">
              <w:tcPr>
                <w:tcW w:w="364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品种名称</w:t>
            </w:r>
          </w:p>
        </w:tc>
        <w:tc>
          <w:tcPr>
            <w:tcW w:w="1980" w:type="dxa"/>
            <w:noWrap w:val="0"/>
            <w:vAlign w:val="center"/>
            <w:tcPrChange w:id="4" w:author="马丽娜" w:date="2021-10-15T09:18:00Z">
              <w:tcPr>
                <w:tcW w:w="1980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规格</w:t>
            </w:r>
          </w:p>
        </w:tc>
        <w:tc>
          <w:tcPr>
            <w:tcW w:w="1305" w:type="dxa"/>
            <w:noWrap w:val="0"/>
            <w:vAlign w:val="center"/>
            <w:tcPrChange w:id="5" w:author="马丽娜" w:date="2021-10-15T09:18:00Z">
              <w:tcPr>
                <w:tcW w:w="130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制剂用量</w:t>
            </w:r>
          </w:p>
        </w:tc>
        <w:tc>
          <w:tcPr>
            <w:tcW w:w="1875" w:type="dxa"/>
            <w:noWrap w:val="0"/>
            <w:vAlign w:val="center"/>
            <w:tcPrChange w:id="6" w:author="马丽娜" w:date="2021-10-15T09:18:00Z">
              <w:tcPr>
                <w:tcW w:w="187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  <w:lang w:eastAsia="en-US"/>
              </w:rPr>
              <w:t>折合原料量</w:t>
            </w: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pacing w:val="-11"/>
                <w:sz w:val="24"/>
                <w:szCs w:val="24"/>
                <w:lang w:eastAsia="en-US"/>
              </w:rPr>
              <w:t>kg</w:t>
            </w: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" w:author="马丽娜" w:date="2021-10-15T09:18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35" w:hRule="atLeast"/>
          <w:jc w:val="center"/>
          <w:trPrChange w:id="7" w:author="马丽娜" w:date="2021-10-15T09:18:00Z">
            <w:trPr>
              <w:trHeight w:val="1335" w:hRule="atLeast"/>
              <w:jc w:val="center"/>
            </w:trPr>
          </w:trPrChange>
        </w:trPr>
        <w:tc>
          <w:tcPr>
            <w:tcW w:w="3645" w:type="dxa"/>
            <w:noWrap w:val="0"/>
            <w:vAlign w:val="center"/>
            <w:tcPrChange w:id="8" w:author="马丽娜" w:date="2021-10-15T09:18:00Z">
              <w:tcPr>
                <w:tcW w:w="364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例1：盐酸林可霉素乳房注入剂（泌乳期）</w:t>
            </w:r>
          </w:p>
        </w:tc>
        <w:tc>
          <w:tcPr>
            <w:tcW w:w="1980" w:type="dxa"/>
            <w:noWrap w:val="0"/>
            <w:vAlign w:val="center"/>
            <w:tcPrChange w:id="9" w:author="马丽娜" w:date="2021-10-15T09:18:00Z">
              <w:tcPr>
                <w:tcW w:w="1980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按林可霉素计，</w:t>
            </w:r>
          </w:p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支（7.0g：0.35g）</w:t>
            </w:r>
          </w:p>
        </w:tc>
        <w:tc>
          <w:tcPr>
            <w:tcW w:w="1305" w:type="dxa"/>
            <w:noWrap w:val="0"/>
            <w:vAlign w:val="center"/>
            <w:tcPrChange w:id="10" w:author="马丽娜" w:date="2021-10-15T09:18:00Z">
              <w:tcPr>
                <w:tcW w:w="130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2400支</w:t>
            </w:r>
          </w:p>
        </w:tc>
        <w:tc>
          <w:tcPr>
            <w:tcW w:w="1875" w:type="dxa"/>
            <w:noWrap w:val="0"/>
            <w:vAlign w:val="center"/>
            <w:tcPrChange w:id="11" w:author="马丽娜" w:date="2021-10-15T09:18:00Z">
              <w:tcPr>
                <w:tcW w:w="187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" w:author="马丽娜" w:date="2021-10-15T09:18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75" w:hRule="atLeast"/>
          <w:jc w:val="center"/>
          <w:trPrChange w:id="12" w:author="马丽娜" w:date="2021-10-15T09:18:00Z">
            <w:trPr>
              <w:trHeight w:val="775" w:hRule="atLeast"/>
              <w:jc w:val="center"/>
            </w:trPr>
          </w:trPrChange>
        </w:trPr>
        <w:tc>
          <w:tcPr>
            <w:tcW w:w="3645" w:type="dxa"/>
            <w:noWrap w:val="0"/>
            <w:vAlign w:val="center"/>
            <w:tcPrChange w:id="13" w:author="马丽娜" w:date="2021-10-15T09:18:00Z">
              <w:tcPr>
                <w:tcW w:w="364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例2：硫酸双氢链霉素注射液</w:t>
            </w:r>
          </w:p>
        </w:tc>
        <w:tc>
          <w:tcPr>
            <w:tcW w:w="1980" w:type="dxa"/>
            <w:noWrap w:val="0"/>
            <w:vAlign w:val="center"/>
            <w:tcPrChange w:id="14" w:author="马丽娜" w:date="2021-10-15T09:18:00Z">
              <w:tcPr>
                <w:tcW w:w="1980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10ml：2.5g</w:t>
            </w:r>
          </w:p>
        </w:tc>
        <w:tc>
          <w:tcPr>
            <w:tcW w:w="1305" w:type="dxa"/>
            <w:noWrap w:val="0"/>
            <w:vAlign w:val="center"/>
            <w:tcPrChange w:id="15" w:author="马丽娜" w:date="2021-10-15T09:18:00Z">
              <w:tcPr>
                <w:tcW w:w="130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36800ml</w:t>
            </w:r>
          </w:p>
        </w:tc>
        <w:tc>
          <w:tcPr>
            <w:tcW w:w="1875" w:type="dxa"/>
            <w:noWrap w:val="0"/>
            <w:vAlign w:val="center"/>
            <w:tcPrChange w:id="16" w:author="马丽娜" w:date="2021-10-15T09:18:00Z">
              <w:tcPr>
                <w:tcW w:w="187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" w:author="马丽娜" w:date="2021-10-15T09:18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15" w:hRule="atLeast"/>
          <w:jc w:val="center"/>
          <w:trPrChange w:id="17" w:author="马丽娜" w:date="2021-10-15T09:18:00Z">
            <w:trPr>
              <w:trHeight w:val="815" w:hRule="atLeast"/>
              <w:jc w:val="center"/>
            </w:trPr>
          </w:trPrChange>
        </w:trPr>
        <w:tc>
          <w:tcPr>
            <w:tcW w:w="3645" w:type="dxa"/>
            <w:noWrap w:val="0"/>
            <w:vAlign w:val="center"/>
            <w:tcPrChange w:id="18" w:author="马丽娜" w:date="2021-10-15T09:18:00Z">
              <w:tcPr>
                <w:tcW w:w="364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ind w:firstLine="720" w:firstLineChars="300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汇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总</w:t>
            </w:r>
          </w:p>
        </w:tc>
        <w:tc>
          <w:tcPr>
            <w:tcW w:w="1980" w:type="dxa"/>
            <w:noWrap w:val="0"/>
            <w:vAlign w:val="center"/>
            <w:tcPrChange w:id="19" w:author="马丽娜" w:date="2021-10-15T09:18:00Z">
              <w:tcPr>
                <w:tcW w:w="1980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  <w:tc>
          <w:tcPr>
            <w:tcW w:w="1305" w:type="dxa"/>
            <w:noWrap w:val="0"/>
            <w:vAlign w:val="center"/>
            <w:tcPrChange w:id="20" w:author="马丽娜" w:date="2021-10-15T09:18:00Z">
              <w:tcPr>
                <w:tcW w:w="130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  <w:tc>
          <w:tcPr>
            <w:tcW w:w="1875" w:type="dxa"/>
            <w:noWrap w:val="0"/>
            <w:vAlign w:val="center"/>
            <w:tcPrChange w:id="21" w:author="马丽娜" w:date="2021-10-15T09:18:00Z">
              <w:tcPr>
                <w:tcW w:w="1875" w:type="dxa"/>
                <w:noWrap w:val="0"/>
                <w:vAlign w:val="center"/>
              </w:tcPr>
            </w:tcPrChange>
          </w:tcPr>
          <w:p>
            <w:pPr>
              <w:spacing w:line="59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10.04</w:t>
            </w:r>
          </w:p>
        </w:tc>
      </w:tr>
    </w:tbl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汇总考察年度内各兽用抗菌药制剂的使用总量，并按如下格式列表计算。</w:t>
      </w:r>
    </w:p>
    <w:p>
      <w:pPr>
        <w:keepNext/>
        <w:keepLines/>
        <w:spacing w:line="590" w:lineRule="exact"/>
        <w:ind w:firstLine="640" w:firstLineChars="200"/>
        <w:outlineLvl w:val="2"/>
        <w:rPr>
          <w:rFonts w:eastAsia="楷体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（二）抗菌药类药物饲料添加剂使用量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按品种汇总考察年度内抗菌药类药物饲料添加剂的使用量，并按如下格式列表计算。</w:t>
      </w:r>
    </w:p>
    <w:tbl>
      <w:tblPr>
        <w:tblStyle w:val="3"/>
        <w:tblpPr w:leftFromText="180" w:rightFromText="180" w:vertAnchor="text" w:horzAnchor="page" w:tblpXSpec="center" w:tblpY="70"/>
        <w:tblOverlap w:val="never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2000"/>
        <w:gridCol w:w="1850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内含药物名称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含药浓度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g/t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饲料用量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t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  <w:lang w:eastAsia="en-US"/>
              </w:rPr>
              <w:t>折合原料量</w:t>
            </w: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pacing w:val="-11"/>
                <w:sz w:val="24"/>
                <w:szCs w:val="24"/>
                <w:lang w:eastAsia="en-US"/>
              </w:rPr>
              <w:t>kg</w:t>
            </w: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pacing w:val="-17"/>
                <w:sz w:val="24"/>
                <w:szCs w:val="24"/>
                <w:lang w:eastAsia="en-US"/>
              </w:rPr>
              <w:t>例1：土霉素钙预混剂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590" w:lineRule="exact"/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400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59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2080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590" w:lineRule="exact"/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例2：金霉素预混剂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590" w:lineRule="exact"/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500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59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6600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590" w:lineRule="exact"/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noWrap w:val="0"/>
            <w:vAlign w:val="center"/>
          </w:tcPr>
          <w:p>
            <w:pPr>
              <w:spacing w:line="59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en-US"/>
              </w:rPr>
              <w:t>汇总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590" w:lineRule="exact"/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590" w:lineRule="exact"/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590" w:lineRule="exact"/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4132</w:t>
            </w:r>
          </w:p>
        </w:tc>
      </w:tr>
    </w:tbl>
    <w:p>
      <w:pPr>
        <w:keepNext/>
        <w:keepLines/>
        <w:spacing w:line="59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二、单位畜禽产品抗菌药使用量的计算方法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</w:rPr>
        <w:t>不同动物因养殖规律的不同，因而采用有区别的计算方法。原则上不计入种畜禽及哺乳或育雏阶段使用兽用抗菌药的数量。</w:t>
      </w:r>
    </w:p>
    <w:p>
      <w:pPr>
        <w:keepNext/>
        <w:keepLines/>
        <w:spacing w:line="590" w:lineRule="exact"/>
        <w:ind w:firstLine="640" w:firstLineChars="200"/>
        <w:outlineLvl w:val="2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（一）生猪、肉鸡、肉鸭和肉兔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原则上按养殖批计算。考察年度内出栏批次在3批以上的（含3批），至少以3批数据计算；出栏批次不足3批的，以实际出栏批次数据计算。考察期限为自入栏至出栏；年度内没有发生出栏的养殖场，不参与评价。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单位产品用药量=（批抗菌药使用总量（g）/批出栏量（t））</w:t>
      </w:r>
    </w:p>
    <w:p>
      <w:pPr>
        <w:keepNext/>
        <w:keepLines/>
        <w:spacing w:line="590" w:lineRule="exact"/>
        <w:ind w:firstLine="640" w:firstLineChars="200"/>
        <w:outlineLvl w:val="2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（二）奶牛、肉牛、肉羊和蛋鸡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原则上按考察年度内整场兽用抗菌药使用量与总产出（毛重）计算。对于自繁自养或出售部分雏、仔、犊的养殖场，应扣除种畜禽及育雏、哺乳阶段的用药量。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单位产品用药量=抗菌药使用总量（g）/总产奶量（或总出栏量、总产蛋量，t）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马丽娜">
    <w15:presenceInfo w15:providerId="None" w15:userId="马丽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0264"/>
    <w:rsid w:val="50E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rFonts w:ascii="Calibri" w:hAnsi="Calibri" w:eastAsia="楷体" w:cs="Times New Roman"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2021-10-19T09:14:00Z</dcterms:created>
  <dc:creator>unknown</dc:creator>
  <cp:lastModifiedBy>unknown</cp:lastModifiedBy>
  <dcterms:modified xsi:type="dcterms:W3CDTF">2021-10-19T09:17:31Z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