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D2" w:rsidRDefault="00FF7CD2" w:rsidP="00FF7CD2">
      <w:pPr>
        <w:pStyle w:val="Heading21"/>
        <w:spacing w:after="0" w:line="586" w:lineRule="exact"/>
        <w:rPr>
          <w:rFonts w:ascii="黑体" w:eastAsia="黑体" w:hAnsi="黑体" w:cs="仿宋"/>
          <w:sz w:val="32"/>
          <w:szCs w:val="32"/>
          <w:lang w:val="en-US" w:eastAsia="zh-CN"/>
        </w:rPr>
      </w:pPr>
      <w:r>
        <w:rPr>
          <w:rFonts w:ascii="黑体" w:eastAsia="黑体" w:hAnsi="黑体" w:cs="仿宋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cs="仿宋" w:hint="eastAsia"/>
          <w:sz w:val="32"/>
          <w:szCs w:val="32"/>
          <w:lang w:val="en-US" w:eastAsia="zh-CN"/>
        </w:rPr>
        <w:t>3</w:t>
      </w:r>
    </w:p>
    <w:p w:rsidR="00FF7CD2" w:rsidRDefault="00FF7CD2" w:rsidP="00FF7CD2">
      <w:pPr>
        <w:pStyle w:val="Heading21"/>
        <w:spacing w:after="0" w:line="58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</w:p>
    <w:p w:rsidR="00FF7CD2" w:rsidRPr="008C0CC2" w:rsidRDefault="00FF7CD2" w:rsidP="00FF7CD2">
      <w:pPr>
        <w:pStyle w:val="Heading21"/>
        <w:spacing w:after="0" w:line="586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val="en-US" w:eastAsia="zh-CN"/>
        </w:rPr>
      </w:pPr>
      <w:r w:rsidRPr="008C0CC2"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畜禽</w:t>
      </w:r>
      <w:r w:rsidRPr="008C0CC2">
        <w:rPr>
          <w:rFonts w:ascii="方正小标宋简体" w:eastAsia="方正小标宋简体" w:hAnsi="方正小标宋简体" w:cs="方正小标宋简体" w:hint="eastAsia"/>
          <w:sz w:val="44"/>
          <w:szCs w:val="44"/>
        </w:rPr>
        <w:t>屠宰标准化</w:t>
      </w:r>
      <w:r w:rsidRPr="008C0CC2"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达标企业认定</w:t>
      </w:r>
      <w:r w:rsidRPr="008C0CC2">
        <w:rPr>
          <w:rFonts w:ascii="方正小标宋简体" w:eastAsia="方正小标宋简体" w:hAnsi="方正小标宋简体" w:cs="方正小标宋简体" w:hint="eastAsia"/>
          <w:sz w:val="44"/>
          <w:szCs w:val="44"/>
        </w:rPr>
        <w:t>打分表说明</w:t>
      </w:r>
    </w:p>
    <w:p w:rsidR="00FF7CD2" w:rsidRDefault="00FF7CD2" w:rsidP="00FF7CD2">
      <w:pPr>
        <w:pStyle w:val="Bodytext1"/>
        <w:spacing w:line="586" w:lineRule="exact"/>
        <w:jc w:val="left"/>
        <w:rPr>
          <w:rFonts w:ascii="仿宋_GB2312" w:eastAsia="PMingLiU" w:hAnsi="仿宋" w:cs="仿宋"/>
          <w:color w:val="auto"/>
          <w:sz w:val="28"/>
          <w:szCs w:val="28"/>
        </w:rPr>
      </w:pPr>
    </w:p>
    <w:p w:rsidR="00FF7CD2" w:rsidRPr="001A386F" w:rsidRDefault="00FF7CD2" w:rsidP="00FF7CD2">
      <w:pPr>
        <w:pStyle w:val="Bodytext1"/>
        <w:spacing w:line="586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1.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eastAsia="zh-CN"/>
        </w:rPr>
        <w:t>畜禽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屠宰标准化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eastAsia="zh-CN"/>
        </w:rPr>
        <w:t>达标企业认定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指标共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eastAsia="zh-CN" w:bidi="en-US"/>
        </w:rPr>
        <w:t>85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项，其中关键指标15项（用★标注），一般指标70项。</w:t>
      </w:r>
    </w:p>
    <w:p w:rsidR="00FF7CD2" w:rsidRPr="001A386F" w:rsidRDefault="00FF7CD2" w:rsidP="00FF7CD2">
      <w:pPr>
        <w:pStyle w:val="Bodytext1"/>
        <w:tabs>
          <w:tab w:val="left" w:pos="344"/>
        </w:tabs>
        <w:spacing w:line="586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bookmarkStart w:id="0" w:name="bookmark22"/>
      <w:bookmarkEnd w:id="0"/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2.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eastAsia="zh-CN"/>
        </w:rPr>
        <w:t>认定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专家组按照《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eastAsia="zh-CN"/>
        </w:rPr>
        <w:t>畜禽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屠宰标准化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eastAsia="zh-CN"/>
        </w:rPr>
        <w:t>达标企业认定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打分表》（以下简称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val="zh-CN" w:eastAsia="zh-CN" w:bidi="zh-CN"/>
        </w:rPr>
        <w:t>《打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分表》）逐项进行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eastAsia="zh-CN"/>
        </w:rPr>
        <w:t>查验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。</w:t>
      </w:r>
    </w:p>
    <w:p w:rsidR="00FF7CD2" w:rsidRPr="001A386F" w:rsidRDefault="00FF7CD2" w:rsidP="00FF7CD2">
      <w:pPr>
        <w:pStyle w:val="Bodytext1"/>
        <w:tabs>
          <w:tab w:val="left" w:pos="344"/>
        </w:tabs>
        <w:spacing w:line="586" w:lineRule="exact"/>
        <w:ind w:firstLineChars="200" w:firstLine="616"/>
        <w:rPr>
          <w:rFonts w:ascii="仿宋_GB2312" w:eastAsia="仿宋_GB2312" w:hAnsi="仿宋" w:cs="仿宋" w:hint="eastAsia"/>
          <w:color w:val="000000"/>
          <w:spacing w:val="-6"/>
          <w:sz w:val="32"/>
          <w:szCs w:val="32"/>
        </w:rPr>
      </w:pPr>
      <w:bookmarkStart w:id="1" w:name="bookmark23"/>
      <w:bookmarkEnd w:id="1"/>
      <w:r w:rsidRPr="001A386F">
        <w:rPr>
          <w:rFonts w:ascii="仿宋_GB2312" w:eastAsia="仿宋_GB2312" w:hAnsi="仿宋" w:cs="仿宋" w:hint="eastAsia"/>
          <w:color w:val="000000"/>
          <w:spacing w:val="-6"/>
          <w:sz w:val="32"/>
          <w:szCs w:val="32"/>
        </w:rPr>
        <w:t>3.</w:t>
      </w:r>
      <w:r w:rsidRPr="001A386F">
        <w:rPr>
          <w:rFonts w:ascii="仿宋_GB2312" w:eastAsia="仿宋_GB2312" w:hAnsi="仿宋" w:cs="仿宋" w:hint="eastAsia"/>
          <w:color w:val="000000"/>
          <w:spacing w:val="-6"/>
          <w:sz w:val="32"/>
          <w:szCs w:val="32"/>
          <w:lang w:eastAsia="zh-CN"/>
        </w:rPr>
        <w:t>认定</w:t>
      </w:r>
      <w:r w:rsidRPr="001A386F">
        <w:rPr>
          <w:rFonts w:ascii="仿宋_GB2312" w:eastAsia="仿宋_GB2312" w:hAnsi="仿宋" w:cs="仿宋" w:hint="eastAsia"/>
          <w:color w:val="000000"/>
          <w:spacing w:val="-6"/>
          <w:sz w:val="32"/>
          <w:szCs w:val="32"/>
        </w:rPr>
        <w:t>专家组对《打分表》规定的内容作出</w:t>
      </w:r>
      <w:r w:rsidRPr="001A386F">
        <w:rPr>
          <w:rFonts w:ascii="仿宋_GB2312" w:eastAsia="仿宋_GB2312" w:hAnsi="仿宋" w:cs="仿宋" w:hint="eastAsia"/>
          <w:color w:val="000000"/>
          <w:spacing w:val="-6"/>
          <w:sz w:val="32"/>
          <w:szCs w:val="32"/>
          <w:lang w:val="zh-CN" w:eastAsia="zh-CN" w:bidi="zh-CN"/>
        </w:rPr>
        <w:t>“符</w:t>
      </w:r>
      <w:r w:rsidRPr="001A386F">
        <w:rPr>
          <w:rFonts w:ascii="仿宋_GB2312" w:eastAsia="仿宋_GB2312" w:hAnsi="仿宋" w:cs="仿宋" w:hint="eastAsia"/>
          <w:color w:val="000000"/>
          <w:spacing w:val="-6"/>
          <w:sz w:val="32"/>
          <w:szCs w:val="32"/>
        </w:rPr>
        <w:t>合”,</w:t>
      </w:r>
      <w:r w:rsidRPr="001A386F">
        <w:rPr>
          <w:rFonts w:ascii="仿宋_GB2312" w:eastAsia="仿宋_GB2312" w:hAnsi="仿宋" w:cs="仿宋" w:hint="eastAsia"/>
          <w:color w:val="000000"/>
          <w:spacing w:val="-6"/>
          <w:sz w:val="32"/>
          <w:szCs w:val="32"/>
          <w:lang w:val="zh-CN" w:eastAsia="zh-CN" w:bidi="zh-CN"/>
        </w:rPr>
        <w:t>“基</w:t>
      </w:r>
      <w:r w:rsidRPr="001A386F">
        <w:rPr>
          <w:rFonts w:ascii="仿宋_GB2312" w:eastAsia="仿宋_GB2312" w:hAnsi="仿宋" w:cs="仿宋" w:hint="eastAsia"/>
          <w:color w:val="000000"/>
          <w:spacing w:val="-6"/>
          <w:sz w:val="32"/>
          <w:szCs w:val="32"/>
        </w:rPr>
        <w:t>本符合”、</w:t>
      </w:r>
      <w:r w:rsidRPr="001A386F">
        <w:rPr>
          <w:rFonts w:ascii="仿宋_GB2312" w:eastAsia="仿宋_GB2312" w:hAnsi="仿宋" w:cs="仿宋" w:hint="eastAsia"/>
          <w:color w:val="000000"/>
          <w:spacing w:val="-6"/>
          <w:sz w:val="32"/>
          <w:szCs w:val="32"/>
          <w:lang w:val="zh-CN" w:eastAsia="zh-CN" w:bidi="zh-CN"/>
        </w:rPr>
        <w:t>“不</w:t>
      </w:r>
      <w:r w:rsidRPr="001A386F">
        <w:rPr>
          <w:rFonts w:ascii="仿宋_GB2312" w:eastAsia="仿宋_GB2312" w:hAnsi="仿宋" w:cs="仿宋" w:hint="eastAsia"/>
          <w:color w:val="000000"/>
          <w:spacing w:val="-6"/>
          <w:sz w:val="32"/>
          <w:szCs w:val="32"/>
        </w:rPr>
        <w:t>符合”的判定，部分内容可作出"不适用”的判定。</w:t>
      </w:r>
    </w:p>
    <w:p w:rsidR="00FF7CD2" w:rsidRPr="001A386F" w:rsidRDefault="00FF7CD2" w:rsidP="00FF7CD2">
      <w:pPr>
        <w:pStyle w:val="Bodytext1"/>
        <w:spacing w:line="586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对《打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val="zh-CN" w:eastAsia="zh-CN" w:bidi="zh-CN"/>
        </w:rPr>
        <w:t>分表》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中同一个指标的多项内容进行评定时，若多数内容符合，则应判定该指标为"基本符合”；若所有内容均不符合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eastAsia="zh-CN"/>
        </w:rPr>
        <w:t>，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或仅有少数内容符合，则应判定该指标为“不符合”。</w:t>
      </w:r>
      <w:bookmarkStart w:id="2" w:name="bookmark24"/>
      <w:bookmarkEnd w:id="2"/>
    </w:p>
    <w:p w:rsidR="00FF7CD2" w:rsidRPr="001A386F" w:rsidRDefault="00FF7CD2" w:rsidP="00FF7CD2">
      <w:pPr>
        <w:pStyle w:val="Bodytext1"/>
        <w:spacing w:line="586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  <w:lang w:eastAsia="zh-CN"/>
        </w:rPr>
      </w:pP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4.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eastAsia="zh-CN"/>
        </w:rPr>
        <w:t>认定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专家组请在对应的选项中划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eastAsia="zh-CN"/>
        </w:rPr>
        <w:t>“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√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eastAsia="zh-CN"/>
        </w:rPr>
        <w:t>”。</w:t>
      </w:r>
    </w:p>
    <w:p w:rsidR="00FF7CD2" w:rsidRPr="001A386F" w:rsidRDefault="00FF7CD2" w:rsidP="00FF7CD2">
      <w:pPr>
        <w:pStyle w:val="Bodytext1"/>
        <w:numPr>
          <w:ilvl w:val="0"/>
          <w:numId w:val="1"/>
        </w:numPr>
        <w:spacing w:line="586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eastAsia="zh-CN"/>
        </w:rPr>
        <w:t>认定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结果建议分为“建设通过”.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val="zh-CN" w:eastAsia="zh-CN" w:bidi="zh-CN"/>
        </w:rPr>
        <w:t>“建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议限期整改后通过”和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val="zh-CN" w:eastAsia="zh-CN" w:bidi="zh-CN"/>
        </w:rPr>
        <w:t>“建议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不予通过”。</w:t>
      </w:r>
    </w:p>
    <w:p w:rsidR="00FF7CD2" w:rsidRPr="001A386F" w:rsidRDefault="00FF7CD2" w:rsidP="00FF7CD2">
      <w:pPr>
        <w:pStyle w:val="Bodytext1"/>
        <w:spacing w:line="586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（1）同时满足以下条件为"建议通过”:</w:t>
      </w:r>
    </w:p>
    <w:p w:rsidR="00FF7CD2" w:rsidRPr="001A386F" w:rsidRDefault="00FF7CD2" w:rsidP="00FF7CD2">
      <w:pPr>
        <w:pStyle w:val="Bodytext1"/>
        <w:spacing w:line="586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val="en-US" w:eastAsia="zh-CN" w:bidi="en-US"/>
        </w:rPr>
        <w:t>A.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关键指标全部为“符合”；</w:t>
      </w:r>
    </w:p>
    <w:p w:rsidR="00FF7CD2" w:rsidRPr="001A386F" w:rsidRDefault="00FF7CD2" w:rsidP="00FF7CD2">
      <w:pPr>
        <w:pStyle w:val="Bodytext1"/>
        <w:spacing w:line="586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eastAsia="zh-CN" w:bidi="en-US"/>
        </w:rPr>
        <w:t>B.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—般指标中无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val="zh-CN" w:eastAsia="zh-CN" w:bidi="zh-CN"/>
        </w:rPr>
        <w:t>“不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符合”项，且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val="zh-CN" w:eastAsia="zh-CN" w:bidi="zh-CN"/>
        </w:rPr>
        <w:t>“基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本符合”项数不超过10个。</w:t>
      </w:r>
    </w:p>
    <w:p w:rsidR="00FF7CD2" w:rsidRPr="001A386F" w:rsidRDefault="00FF7CD2" w:rsidP="00FF7CD2">
      <w:pPr>
        <w:pStyle w:val="Bodytext1"/>
        <w:spacing w:line="586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（2）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eastAsia="zh-CN"/>
        </w:rPr>
        <w:t>认定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结果为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val="zh-CN" w:eastAsia="zh-CN" w:bidi="zh-CN"/>
        </w:rPr>
        <w:t>“建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议限期整改后通过”的，应符合下列条件：</w:t>
      </w:r>
    </w:p>
    <w:p w:rsidR="00FF7CD2" w:rsidRPr="001A386F" w:rsidRDefault="00FF7CD2" w:rsidP="00FF7CD2">
      <w:pPr>
        <w:pStyle w:val="Bodytext1"/>
        <w:spacing w:line="586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val="en-US" w:eastAsia="zh-CN" w:bidi="en-US"/>
        </w:rPr>
        <w:lastRenderedPageBreak/>
        <w:t>A.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关键指标中无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val="zh-CN" w:eastAsia="zh-CN" w:bidi="zh-CN"/>
        </w:rPr>
        <w:t>“不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符合”项，且"基本符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val="zh-CN" w:eastAsia="zh-CN" w:bidi="zh-CN"/>
        </w:rPr>
        <w:t>合”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项少于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val="zh-CN" w:eastAsia="zh-CN" w:bidi="zh-CN"/>
        </w:rPr>
        <w:t>（含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）2个;</w:t>
      </w:r>
    </w:p>
    <w:p w:rsidR="00FF7CD2" w:rsidRPr="001A386F" w:rsidRDefault="00FF7CD2" w:rsidP="00FF7CD2">
      <w:pPr>
        <w:pStyle w:val="Bodytext1"/>
        <w:spacing w:line="586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B.一般指标中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val="zh-CN" w:eastAsia="zh-CN" w:bidi="zh-CN"/>
        </w:rPr>
        <w:t>“不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符合"项少于(含）5个；</w:t>
      </w:r>
    </w:p>
    <w:p w:rsidR="00FF7CD2" w:rsidRPr="001A386F" w:rsidRDefault="00FF7CD2" w:rsidP="00FF7CD2">
      <w:pPr>
        <w:pStyle w:val="Bodytext1"/>
        <w:spacing w:line="586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val="en-US" w:eastAsia="zh-CN" w:bidi="en-US"/>
        </w:rPr>
        <w:t>C.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所有指标中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val="zh-CN" w:eastAsia="zh-CN" w:bidi="zh-CN"/>
        </w:rPr>
        <w:t>“符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合”项超过（含）51个，但不足75个。</w:t>
      </w:r>
    </w:p>
    <w:p w:rsidR="00FF7CD2" w:rsidRPr="001A386F" w:rsidRDefault="00FF7CD2" w:rsidP="00FF7CD2">
      <w:pPr>
        <w:pStyle w:val="Bodytext1"/>
        <w:spacing w:line="586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  <w:lang w:eastAsia="zh-CN"/>
        </w:rPr>
      </w:pP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（3）有下列情形之一的,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eastAsia="zh-CN"/>
        </w:rPr>
        <w:t>认定结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果为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val="zh-CN" w:eastAsia="zh-CN" w:bidi="zh-CN"/>
        </w:rPr>
        <w:t>“建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议不予通过”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eastAsia="zh-CN"/>
        </w:rPr>
        <w:t>：</w:t>
      </w:r>
    </w:p>
    <w:p w:rsidR="00FF7CD2" w:rsidRPr="001A386F" w:rsidRDefault="00FF7CD2" w:rsidP="00FF7CD2">
      <w:pPr>
        <w:pStyle w:val="Bodytext1"/>
        <w:spacing w:line="586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val="en-US" w:eastAsia="zh-CN" w:bidi="en-US"/>
        </w:rPr>
        <w:t>A.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关</w:t>
      </w:r>
      <w:r w:rsidRPr="001A386F">
        <w:rPr>
          <w:rFonts w:ascii="仿宋_GB2312" w:eastAsia="仿宋_GB2312" w:hAnsi="微软雅黑" w:cs="微软雅黑" w:hint="eastAsia"/>
          <w:color w:val="000000"/>
          <w:sz w:val="32"/>
          <w:szCs w:val="32"/>
          <w:lang w:eastAsia="zh-CN"/>
        </w:rPr>
        <w:t>键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指标中出“不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val="zh-CN" w:eastAsia="zh-CN" w:bidi="zh-CN"/>
        </w:rPr>
        <w:t>符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eastAsia="zh-CN" w:bidi="zh-CN"/>
        </w:rPr>
        <w:t>合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val="zh-CN" w:eastAsia="zh-CN" w:bidi="zh-CN"/>
        </w:rPr>
        <w:t>"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项;</w:t>
      </w:r>
    </w:p>
    <w:p w:rsidR="00FF7CD2" w:rsidRPr="001A386F" w:rsidRDefault="00FF7CD2" w:rsidP="00FF7CD2">
      <w:pPr>
        <w:pStyle w:val="Bodytext1"/>
        <w:spacing w:line="586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B.关键指标中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val="zh-CN" w:eastAsia="zh-CN" w:bidi="zh-CN"/>
        </w:rPr>
        <w:t>”基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本符合”项超出（不含）2个；</w:t>
      </w:r>
    </w:p>
    <w:p w:rsidR="00FF7CD2" w:rsidRPr="001A386F" w:rsidRDefault="00FF7CD2" w:rsidP="00FF7CD2">
      <w:pPr>
        <w:pStyle w:val="Bodytext1"/>
        <w:spacing w:line="586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val="en-US" w:eastAsia="zh-CN" w:bidi="en-US"/>
        </w:rPr>
        <w:t>C.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一般指标中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val="zh-CN" w:eastAsia="zh-CN" w:bidi="zh-CN"/>
        </w:rPr>
        <w:t>“不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符合”项数</w:t>
      </w:r>
      <w:r w:rsidRPr="001A386F">
        <w:rPr>
          <w:rFonts w:ascii="仿宋_GB2312" w:eastAsia="仿宋_GB2312" w:hAnsi="微软雅黑" w:cs="微软雅黑" w:hint="eastAsia"/>
          <w:color w:val="000000"/>
          <w:sz w:val="32"/>
          <w:szCs w:val="32"/>
        </w:rPr>
        <w:t>题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过（不含）5个；</w:t>
      </w:r>
    </w:p>
    <w:p w:rsidR="00FF7CD2" w:rsidRPr="001A386F" w:rsidRDefault="00FF7CD2" w:rsidP="00FF7CD2">
      <w:pPr>
        <w:pStyle w:val="Bodytext1"/>
        <w:spacing w:line="586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  <w:lang w:eastAsia="zh-CN"/>
        </w:rPr>
      </w:pP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D.所有指标中“符合”项不足51个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eastAsia="zh-CN"/>
        </w:rPr>
        <w:t>；</w:t>
      </w:r>
    </w:p>
    <w:p w:rsidR="00FF7CD2" w:rsidRPr="001A386F" w:rsidRDefault="00FF7CD2" w:rsidP="00FF7CD2">
      <w:pPr>
        <w:pStyle w:val="Bodytext1"/>
        <w:spacing w:line="586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6.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eastAsia="zh-CN"/>
        </w:rPr>
        <w:t>评审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全部完成后，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eastAsia="zh-CN"/>
        </w:rPr>
        <w:t>评审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组专家应签字。</w:t>
      </w:r>
    </w:p>
    <w:p w:rsidR="00FF7CD2" w:rsidRPr="001A386F" w:rsidRDefault="00FF7CD2" w:rsidP="00FF7CD2">
      <w:pPr>
        <w:pStyle w:val="Bodytext1"/>
        <w:spacing w:line="586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  <w:lang w:val="en-US" w:eastAsia="zh-CN"/>
        </w:rPr>
        <w:sectPr w:rsidR="00FF7CD2" w:rsidRPr="001A386F" w:rsidSect="006865D5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1814" w:right="1531" w:bottom="1758" w:left="1531" w:header="851" w:footer="1701" w:gutter="0"/>
          <w:pgNumType w:fmt="numberInDash"/>
          <w:cols w:space="720"/>
          <w:docGrid w:linePitch="634"/>
        </w:sectPr>
      </w:pP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val="en-US" w:eastAsia="zh-CN"/>
        </w:rPr>
        <w:t>7.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val="zh-CN" w:eastAsia="zh-CN" w:bidi="zh-CN"/>
        </w:rPr>
        <w:t>《打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分表》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  <w:lang w:eastAsia="zh-CN"/>
        </w:rPr>
        <w:t>在生猪屠宰企业认定标准的基础上制定，不符合其它畜种企业</w:t>
      </w:r>
      <w:r w:rsidRPr="001A386F">
        <w:rPr>
          <w:rFonts w:ascii="仿宋_GB2312" w:eastAsia="仿宋_GB2312" w:hAnsi="仿宋" w:cs="仿宋" w:hint="eastAsia"/>
          <w:color w:val="000000"/>
          <w:sz w:val="32"/>
          <w:szCs w:val="32"/>
        </w:rPr>
        <w:t>可作出"不适用”的判定。</w:t>
      </w:r>
    </w:p>
    <w:p w:rsidR="007211DF" w:rsidRDefault="00FF7CD2">
      <w:bookmarkStart w:id="3" w:name="_GoBack"/>
      <w:bookmarkEnd w:id="3"/>
    </w:p>
    <w:sectPr w:rsidR="00721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A9" w:rsidRPr="00DE5441" w:rsidRDefault="00FF7CD2" w:rsidP="006865D5">
    <w:pPr>
      <w:pStyle w:val="a3"/>
      <w:ind w:leftChars="100" w:left="210" w:rightChars="100" w:right="210"/>
      <w:rPr>
        <w:rFonts w:ascii="宋体" w:hAnsi="宋体" w:hint="eastAsia"/>
        <w:sz w:val="28"/>
        <w:szCs w:val="28"/>
      </w:rPr>
    </w:pPr>
    <w:r w:rsidRPr="00DE5441">
      <w:rPr>
        <w:rFonts w:ascii="宋体" w:hAnsi="宋体"/>
        <w:sz w:val="28"/>
        <w:szCs w:val="28"/>
      </w:rPr>
      <w:fldChar w:fldCharType="begin"/>
    </w:r>
    <w:r w:rsidRPr="00DE5441">
      <w:rPr>
        <w:rFonts w:ascii="宋体" w:hAnsi="宋体"/>
        <w:sz w:val="28"/>
        <w:szCs w:val="28"/>
      </w:rPr>
      <w:instrText>PAGE   \* MERGEFORMAT</w:instrText>
    </w:r>
    <w:r w:rsidRPr="00DE5441">
      <w:rPr>
        <w:rFonts w:ascii="宋体" w:hAnsi="宋体"/>
        <w:sz w:val="28"/>
        <w:szCs w:val="28"/>
      </w:rPr>
      <w:fldChar w:fldCharType="separate"/>
    </w:r>
    <w:r w:rsidRPr="00AD1AF6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14 -</w:t>
    </w:r>
    <w:r w:rsidRPr="00DE5441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A9" w:rsidRPr="00E051A9" w:rsidRDefault="00FF7CD2" w:rsidP="00E051A9">
    <w:pPr>
      <w:pStyle w:val="a3"/>
      <w:ind w:leftChars="100" w:left="210" w:rightChars="100" w:right="210"/>
      <w:jc w:val="right"/>
      <w:rPr>
        <w:rFonts w:ascii="宋体" w:hAnsi="宋体" w:hint="eastAsia"/>
        <w:sz w:val="28"/>
        <w:szCs w:val="28"/>
      </w:rPr>
    </w:pPr>
    <w:r w:rsidRPr="00DE5441">
      <w:rPr>
        <w:rFonts w:ascii="宋体" w:hAnsi="宋体"/>
        <w:sz w:val="28"/>
        <w:szCs w:val="28"/>
      </w:rPr>
      <w:fldChar w:fldCharType="begin"/>
    </w:r>
    <w:r w:rsidRPr="00DE5441">
      <w:rPr>
        <w:rFonts w:ascii="宋体" w:hAnsi="宋体"/>
        <w:sz w:val="28"/>
        <w:szCs w:val="28"/>
      </w:rPr>
      <w:instrText>PAGE   \* MERGEFORMAT</w:instrText>
    </w:r>
    <w:r w:rsidRPr="00DE5441">
      <w:rPr>
        <w:rFonts w:ascii="宋体" w:hAnsi="宋体"/>
        <w:sz w:val="28"/>
        <w:szCs w:val="28"/>
      </w:rPr>
      <w:fldChar w:fldCharType="separate"/>
    </w:r>
    <w:r w:rsidRPr="00FF7CD2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DE5441"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A9" w:rsidRPr="00DE5441" w:rsidRDefault="00FF7CD2" w:rsidP="006865D5">
    <w:pPr>
      <w:pStyle w:val="a4"/>
      <w:pBdr>
        <w:bottom w:val="none" w:sz="0" w:space="0" w:color="auto"/>
      </w:pBdr>
      <w:ind w:leftChars="100" w:left="210" w:rightChars="100" w:right="210"/>
      <w:rPr>
        <w:rFonts w:ascii="宋体" w:hAnsi="宋体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A9" w:rsidRPr="00DE5441" w:rsidRDefault="00FF7CD2" w:rsidP="006865D5">
    <w:pPr>
      <w:pStyle w:val="a4"/>
      <w:pBdr>
        <w:bottom w:val="none" w:sz="0" w:space="0" w:color="auto"/>
      </w:pBdr>
      <w:ind w:leftChars="100" w:left="210" w:rightChars="100" w:right="210"/>
      <w:rPr>
        <w:rFonts w:ascii="宋体" w:hAnsi="宋体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5341D"/>
    <w:multiLevelType w:val="singleLevel"/>
    <w:tmpl w:val="5F85341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D2"/>
    <w:rsid w:val="005C1B9E"/>
    <w:rsid w:val="00783854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CC553-FDD6-46EE-A926-F1DD5947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C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F7C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FF7CD2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qFormat/>
    <w:rsid w:val="00FF7C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qFormat/>
    <w:rsid w:val="00FF7CD2"/>
    <w:rPr>
      <w:rFonts w:ascii="Times New Roman" w:eastAsia="宋体" w:hAnsi="Times New Roman" w:cs="Times New Roman"/>
      <w:sz w:val="18"/>
      <w:szCs w:val="20"/>
    </w:rPr>
  </w:style>
  <w:style w:type="paragraph" w:customStyle="1" w:styleId="Heading21">
    <w:name w:val="Heading #2|1"/>
    <w:basedOn w:val="a"/>
    <w:qFormat/>
    <w:rsid w:val="00FF7CD2"/>
    <w:pPr>
      <w:spacing w:after="130"/>
      <w:outlineLvl w:val="1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Bodytext1">
    <w:name w:val="Body text|1"/>
    <w:basedOn w:val="a"/>
    <w:qFormat/>
    <w:rsid w:val="00FF7CD2"/>
    <w:pPr>
      <w:spacing w:line="406" w:lineRule="auto"/>
    </w:pPr>
    <w:rPr>
      <w:rFonts w:ascii="宋体" w:hAnsi="宋体" w:cs="宋体"/>
      <w:color w:val="707376"/>
      <w:sz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马丽娜</dc:creator>
  <cp:keywords/>
  <dc:description/>
  <cp:lastModifiedBy>马丽娜</cp:lastModifiedBy>
  <cp:revision>1</cp:revision>
  <dcterms:created xsi:type="dcterms:W3CDTF">2021-12-29T09:10:00Z</dcterms:created>
  <dcterms:modified xsi:type="dcterms:W3CDTF">2021-12-29T09:12:00Z</dcterms:modified>
</cp:coreProperties>
</file>