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ascii="黑体" w:hAnsi="黑体" w:eastAsia="黑体" w:cs="仿宋"/>
          <w:sz w:val="32"/>
          <w:szCs w:val="32"/>
        </w:rPr>
      </w:pPr>
      <w:r>
        <w:rPr>
          <w:rFonts w:hint="eastAsia" w:ascii="黑体" w:hAnsi="黑体" w:eastAsia="黑体" w:cs="仿宋"/>
          <w:sz w:val="32"/>
          <w:szCs w:val="32"/>
        </w:rPr>
        <w:t>附件4</w:t>
      </w:r>
    </w:p>
    <w:p>
      <w:pPr>
        <w:spacing w:after="156" w:afterLines="50" w:line="586" w:lineRule="exact"/>
        <w:ind w:firstLine="880" w:firstLineChars="20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畜禽屠宰标准化达标企业认定打分表</w:t>
      </w:r>
    </w:p>
    <w:tbl>
      <w:tblPr>
        <w:tblStyle w:val="4"/>
        <w:tblW w:w="13315" w:type="dxa"/>
        <w:jc w:val="center"/>
        <w:tblLayout w:type="fixed"/>
        <w:tblCellMar>
          <w:top w:w="0" w:type="dxa"/>
          <w:left w:w="0" w:type="dxa"/>
          <w:bottom w:w="0" w:type="dxa"/>
          <w:right w:w="0" w:type="dxa"/>
        </w:tblCellMar>
      </w:tblPr>
      <w:tblGrid>
        <w:gridCol w:w="600"/>
        <w:gridCol w:w="1022"/>
        <w:gridCol w:w="1151"/>
        <w:gridCol w:w="6813"/>
        <w:gridCol w:w="636"/>
        <w:gridCol w:w="588"/>
        <w:gridCol w:w="909"/>
        <w:gridCol w:w="672"/>
        <w:gridCol w:w="924"/>
      </w:tblGrid>
      <w:tr>
        <w:tblPrEx>
          <w:tblCellMar>
            <w:top w:w="0" w:type="dxa"/>
            <w:left w:w="0" w:type="dxa"/>
            <w:bottom w:w="0" w:type="dxa"/>
            <w:right w:w="0" w:type="dxa"/>
          </w:tblCellMar>
        </w:tblPrEx>
        <w:trPr>
          <w:trHeight w:val="340" w:hRule="atLeast"/>
          <w:tblHeader/>
          <w:jc w:val="center"/>
        </w:trPr>
        <w:tc>
          <w:tcPr>
            <w:tcW w:w="60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序号</w:t>
            </w:r>
          </w:p>
        </w:tc>
        <w:tc>
          <w:tcPr>
            <w:tcW w:w="102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项  目</w:t>
            </w:r>
          </w:p>
        </w:tc>
        <w:tc>
          <w:tcPr>
            <w:tcW w:w="11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子  项</w:t>
            </w:r>
          </w:p>
        </w:tc>
        <w:tc>
          <w:tcPr>
            <w:tcW w:w="681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指    标</w:t>
            </w:r>
          </w:p>
        </w:tc>
        <w:tc>
          <w:tcPr>
            <w:tcW w:w="636"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关键项</w:t>
            </w:r>
          </w:p>
        </w:tc>
        <w:tc>
          <w:tcPr>
            <w:tcW w:w="3093"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认定结果</w:t>
            </w:r>
          </w:p>
        </w:tc>
      </w:tr>
      <w:tr>
        <w:tblPrEx>
          <w:tblCellMar>
            <w:top w:w="0" w:type="dxa"/>
            <w:left w:w="0" w:type="dxa"/>
            <w:bottom w:w="0" w:type="dxa"/>
            <w:right w:w="0" w:type="dxa"/>
          </w:tblCellMar>
        </w:tblPrEx>
        <w:trPr>
          <w:trHeight w:val="342" w:hRule="atLeast"/>
          <w:tblHeader/>
          <w:jc w:val="center"/>
        </w:trPr>
        <w:tc>
          <w:tcPr>
            <w:tcW w:w="6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cs="黑体" w:asciiTheme="minorEastAsia" w:hAnsiTheme="minorEastAsia" w:eastAsiaTheme="minorEastAsia"/>
                <w:color w:val="000000"/>
                <w:sz w:val="20"/>
              </w:rPr>
            </w:pPr>
          </w:p>
        </w:tc>
        <w:tc>
          <w:tcPr>
            <w:tcW w:w="10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cs="黑体" w:asciiTheme="minorEastAsia" w:hAnsiTheme="minorEastAsia" w:eastAsiaTheme="minorEastAsia"/>
                <w:color w:val="000000"/>
                <w:sz w:val="20"/>
              </w:rPr>
            </w:pPr>
          </w:p>
        </w:tc>
        <w:tc>
          <w:tcPr>
            <w:tcW w:w="11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cs="黑体" w:asciiTheme="minorEastAsia" w:hAnsiTheme="minorEastAsia" w:eastAsiaTheme="minorEastAsia"/>
                <w:color w:val="000000"/>
                <w:sz w:val="20"/>
              </w:rPr>
            </w:pPr>
          </w:p>
        </w:tc>
        <w:tc>
          <w:tcPr>
            <w:tcW w:w="68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cs="黑体" w:asciiTheme="minorEastAsia" w:hAnsiTheme="minorEastAsia" w:eastAsiaTheme="minorEastAsia"/>
                <w:color w:val="000000"/>
                <w:sz w:val="20"/>
              </w:rPr>
            </w:pPr>
          </w:p>
        </w:tc>
        <w:tc>
          <w:tcPr>
            <w:tcW w:w="6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cs="黑体" w:asciiTheme="minorEastAsia" w:hAnsiTheme="minorEastAsia" w:eastAsiaTheme="minorEastAsia"/>
                <w:color w:val="000000"/>
                <w:sz w:val="20"/>
              </w:rPr>
            </w:pPr>
          </w:p>
        </w:tc>
        <w:tc>
          <w:tcPr>
            <w:tcW w:w="5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符合</w:t>
            </w:r>
          </w:p>
        </w:tc>
        <w:tc>
          <w:tcPr>
            <w:tcW w:w="9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基本符合</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不符合</w:t>
            </w:r>
          </w:p>
        </w:tc>
        <w:tc>
          <w:tcPr>
            <w:tcW w:w="9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不适用</w:t>
            </w:r>
          </w:p>
        </w:tc>
      </w:tr>
      <w:tr>
        <w:tblPrEx>
          <w:tblCellMar>
            <w:top w:w="0" w:type="dxa"/>
            <w:left w:w="0" w:type="dxa"/>
            <w:bottom w:w="0" w:type="dxa"/>
            <w:right w:w="0" w:type="dxa"/>
          </w:tblCellMar>
        </w:tblPrEx>
        <w:trPr>
          <w:trHeight w:val="790" w:hRule="atLeast"/>
          <w:jc w:val="center"/>
        </w:trPr>
        <w:tc>
          <w:tcPr>
            <w:tcW w:w="6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w:t>
            </w:r>
          </w:p>
        </w:tc>
        <w:tc>
          <w:tcPr>
            <w:tcW w:w="102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质量管理</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制度化</w:t>
            </w:r>
          </w:p>
        </w:tc>
        <w:tc>
          <w:tcPr>
            <w:tcW w:w="1151"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管理制度</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健全</w:t>
            </w:r>
          </w:p>
        </w:tc>
        <w:tc>
          <w:tcPr>
            <w:tcW w:w="681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建立畜禽屠宰检疫申报、生猪入厂查验登记、经纪人备案管理、待宰静养、肉品品质检验、瘦肉精等风险物质检测、动物疫情报告、生猪产品追溯、清洗消毒、无害化处理、食品加工助剂和化学品使用管理、应急管理等畜禽屠宰质量管理制度。</w:t>
            </w:r>
          </w:p>
        </w:tc>
        <w:tc>
          <w:tcPr>
            <w:tcW w:w="6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auto"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屠宰厂应建立屠宰安全生产、屠宰信息报送、生猪屠宰证章标志使用管理、设施设备日常使用、设施设备检测保养、屠宰从业人员管理、缺陷产品召回等畜禽屠宰生产管理制度。</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81"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屠宰厂应利用定期巡查、抽检等方式对畜禽屠宰全过程管理情况效果评价，并能对发现的问题采取相应措施进行纠偏（需提供实际案例）。</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制度落实</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到位</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屠宰厂屠宰经营方式应以自宰为主，代宰畜禽不超过屠宰总量的20%。</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7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屠宰厂所屠宰畜禽80%以上应来自自有养殖场和（或）签约养殖场。</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7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屠宰厂应与生猪经纪人签订协议，明确屠宰厂收购畜禽的质量要求。</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屠宰厂若接受委托屠宰，应与委托者签订委托屠宰协议书，明确双方的质量安全责任。</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屠宰厂应定期检查各项质量管理制度落实情况，做到有迹可循，各项制度对应台账记录清晰、完整。</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7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9</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屠宰厂应定期开展安全生产情况检查。</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10</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追溯记录</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可查</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屠宰厂应建立企业管理信息系统，实现畜禽采购与进厂、产品出厂销售等环节各项记录的信息化管理。</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11</w:t>
            </w:r>
          </w:p>
        </w:tc>
        <w:tc>
          <w:tcPr>
            <w:tcW w:w="102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屠宰厂应充分运用现代信息技术，建立畜禽屠宰溯源查询系统，信息采集点覆盖屠宰全流程，实现生猪进厂到产品出厂各环节有效追溯。</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12</w:t>
            </w:r>
          </w:p>
        </w:tc>
        <w:tc>
          <w:tcPr>
            <w:tcW w:w="10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屠宰厂应建立肉品品质检验合格证电子出证系统，实现肉品品质检验合格证的电子信息化管理，并具有产品溯源查询能力。</w:t>
            </w:r>
          </w:p>
        </w:tc>
        <w:tc>
          <w:tcPr>
            <w:tcW w:w="636"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51" w:hRule="atLeast"/>
          <w:jc w:val="center"/>
        </w:trPr>
        <w:tc>
          <w:tcPr>
            <w:tcW w:w="6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13</w:t>
            </w:r>
          </w:p>
        </w:tc>
        <w:tc>
          <w:tcPr>
            <w:tcW w:w="102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厂区环境</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整洁化</w:t>
            </w:r>
          </w:p>
        </w:tc>
        <w:tc>
          <w:tcPr>
            <w:tcW w:w="1151"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选址合理</w:t>
            </w:r>
          </w:p>
        </w:tc>
        <w:tc>
          <w:tcPr>
            <w:tcW w:w="681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屠宰厂选址应符合动物防疫条件要求，并远离受污染水体，避开产生有害气体、烟雾、粉尘等污染源的工业企业或其他产生污染源的地区或场所。</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9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14</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屠宰厂布局应符合动物防疫条件要求，厂区周围应建有围墙，生产区和非生产区分开，并有隔离设施。生产区各车间布局应符合生产工艺流程和卫生要求。</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9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15</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屠宰和分割车间的清洁区应设置在无害化处理间、废弃物暂时寄存场所、污水处理站、锅炉房等场所的主导风向的上风侧，其间距应符合环保、食品卫生以及建筑防火等方面的要求。</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16</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建设规范</w:t>
            </w:r>
          </w:p>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（生猪）</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屠宰车间清洁区和非清洁区应分隔。车间内各加工区应按生产工艺流程划分明确，人流、物流互不干扰。参加或主持重大项目、课题评审工作情况，获得何荣誉</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1463"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17</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车间的建筑面积应与屠宰规模相适应，净高不低于5米。屠宰设计规模在30头/h以上70头/h以下的，屠宰车间建筑面积应在420平方米以上；屠宰设计规模在70头/h以上120头/h以下的，屠宰车间建筑面积应在800平方米以上；屠宰设计规模在120头/h以上300头/h以下的，屠宰车间建筑面积应在1500平方米以上；屠宰设计规模在300头/h以上的，屠宰车间建筑面积应在2000平方米以上。</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18" w:hRule="atLeast"/>
          <w:jc w:val="center"/>
        </w:trPr>
        <w:tc>
          <w:tcPr>
            <w:tcW w:w="60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kern w:val="0"/>
                <w:sz w:val="20"/>
              </w:rPr>
            </w:pP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建设规范</w:t>
            </w:r>
          </w:p>
          <w:p>
            <w:pPr>
              <w:spacing w:line="240" w:lineRule="exact"/>
              <w:jc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（牛、羊、鸡）</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kern w:val="0"/>
                <w:sz w:val="18"/>
                <w:szCs w:val="18"/>
              </w:rPr>
            </w:pPr>
            <w:r>
              <w:rPr>
                <w:rFonts w:hint="eastAsia" w:cs="仿宋" w:asciiTheme="minorEastAsia" w:hAnsiTheme="minorEastAsia" w:eastAsiaTheme="minorEastAsia"/>
                <w:color w:val="000000"/>
                <w:kern w:val="0"/>
                <w:sz w:val="18"/>
                <w:szCs w:val="18"/>
              </w:rPr>
              <w:t>屠宰车间的建筑面积应与屠宰规模相适应。</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黑体" w:asciiTheme="minorEastAsia" w:hAnsiTheme="minorEastAsia" w:eastAsiaTheme="minorEastAsia"/>
                <w:color w:val="000000"/>
                <w:kern w:val="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18</w:t>
            </w:r>
          </w:p>
        </w:tc>
        <w:tc>
          <w:tcPr>
            <w:tcW w:w="102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厂区环境</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整洁化</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门面整洁</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屠宰厂门面整洁，路面、场地应平整、无积水。</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9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19</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厂区主要道路及场地应硬化，采用混凝土或沥青铺设。</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2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20</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厂区绿化植被应定期维护，防止孳生虫害。</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9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21</w:t>
            </w:r>
          </w:p>
        </w:tc>
        <w:tc>
          <w:tcPr>
            <w:tcW w:w="102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厂区内禁止饲养动物。</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8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22</w:t>
            </w:r>
          </w:p>
        </w:tc>
        <w:tc>
          <w:tcPr>
            <w:tcW w:w="102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厂区环境</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整洁化</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环境卫生</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屠宰厂畜禽、废弃物运送与成品出厂不得共用一个大门，场内不得共用一个通道。</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4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23</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屠宰厂应在屠宰与分割车间的非清洁区内设有粪污、废弃物等暂时集存场所，其地面、围墙或池壁应便于冲洗消毒。</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2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24</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厂区内废弃物、垃圾等应及时清除或处理，避免对厂区环境造成污染。厂区内不应堆放废弃设备和其他杂物。</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4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25</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厂区内各个消毒通道、消毒池应常年有消毒药水或消毒药品，并能按规定更换。厂区内应定期除虫灭害、清洁消毒，确保环境干净卫生。</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6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26</w:t>
            </w:r>
          </w:p>
        </w:tc>
        <w:tc>
          <w:tcPr>
            <w:tcW w:w="102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屠宰车间、分割车间及相关用具应在每日屠宰结束后进行清洗消毒，隔离间、无害化处理间及相关用具等应在每次使用结束后进行清洗消毒。</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82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27</w:t>
            </w:r>
          </w:p>
        </w:tc>
        <w:tc>
          <w:tcPr>
            <w:tcW w:w="10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设施设备标准化</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布局合理</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屠宰厂应设有待宰间、隔离间、急宰间、实验室、官方兽医室、化学品存放间和无害化处理间等。厂区内应设有生猪运输车辆、产品运输车辆和相关工具清洗、消毒的专门区域。</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8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28</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待宰间面积应与设计屠宰规模相适应，应能容纳设计日屠宰量1.5倍的生猪数量。</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5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29</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应有放血、烫毛、打光、清洗挂钩、开膛、取内脏、内脏清洗、副产品加工等区域。</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31"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30</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屠宰厂各车间应采用耐用材料建造，易于维护、清洁和消毒。</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84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31</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顶棚应使用无毒、无味、易于观察清洁状况的材料建造，易于清洁、消毒，在结构上物理与冷凝水垂直滴下，防止虫害和霉菌孳生。若在屋顶内层喷涂涂料作为顶棚，应使用无毒、无味、防霉、不易脱落、易于清洁的涂料。</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2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32</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墙面、隔断应使用无毒、无味的防渗透材料建造，在操作高度范围内的墙面应光滑、不易积累污垢且易于清洁；若使用涂料，应无毒、无味、防霉、不易脱落、易于清洁。</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8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33</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门的表面应平滑、防吸附、不渗透，并易于清洁、消毒。窗户玻璃应使用不易碎材料。若使用普通玻璃，应采取必要的措施防止玻璃破碎后对原料、包装材料及食品造成污染。</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6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34</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地面应使用无毒、无味、不渗透、耐腐蚀的材料建造，有利于排污和清洗的需要。地面应平坦防滑、无裂缝，并有适当的措施防止积水。</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35</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屠宰厂生产车间内地面、顶棚、墙、柱、窗口等处的阴阳角，应呈弧形设计。</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36</w:t>
            </w:r>
          </w:p>
        </w:tc>
        <w:tc>
          <w:tcPr>
            <w:tcW w:w="102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设施设备标准化</w:t>
            </w:r>
          </w:p>
        </w:tc>
        <w:tc>
          <w:tcPr>
            <w:tcW w:w="11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设施设备</w:t>
            </w:r>
          </w:p>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完善达标</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屠宰厂应配备与屠宰加工规模相适应的供排水设备，在用水位置分别设置冷、热水管。清洗用热水温度不宜低于40℃，消毒用热水温度不应低于82℃。</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37</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加工用水的管道应有防虹吸或防回流装置，供水管网上的出水口不应直接插入污水液面。明沟排水口处应设置不易腐蚀材质格栅，并有防鼠、防臭的设施。</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38</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屠宰厂各车间内应有良好的通风、排气装置，及时排除污染的空气和水蒸气。空气流动的方向应从清洁区流向非清洁区。</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39</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通风口应装有纱网或其他保护性的耐腐蚀材料制作的网罩，防止虫害侵入。纱网或网罩应便于装卸、清洗、维修或更换。</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40</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屠宰厂应配备与屠宰加工规模相适应的照明设备，屠宰和分割车间内应有适宜的自然光线或人工照明。照明灯具的光泽不应改变屠宰或分割产品的本色，亮度应能满足检疫检验人员和生产操作人员的工作需要。</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41</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在暴露肉类的上方安装的灯具，应使用安全型照明设施或采取防护设施，以防灯具破碎而污染肉类。</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42</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屠宰厂储存库温度应符合被储存产品的特定要求，具有防霉、防鼠、防虫设施。生产冷却肉、冷冻肉的，应建立相应的冷藏库和冷冻库，并进行温度监控，必要时配备湿度计；温度计和湿度计应定期校准。</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84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43</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按设计屠宰能力配备屠宰设施设备，配备活猪输送机、猪体清洗装置、致昏设备、同步检验装置、悬挂输送机、浸烫池、脱毛机（剥皮机）、劈半机等；采集食用猪血时，应配置中空放血设备。有与屠宰数量相适应的头、蹄、内脏等存放设备；有病害畜禽或不合格肉品专用轨道及专用容器、运输工具。</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109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44</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设有独立的官方兽医室。应配备与屠宰加工规模相适应的理化、生化及残留检测检验室及设施设备，配备设备包括但不限于：显微镜、恒温培养箱、烤箱、水浴锅、干燥器、万分之一天平、温湿度计、4度冰箱、低温冰箱、加样器、酶标仪、纯水仪、超净工作台、高温灭菌器、凯氏定氮蒸馏玻璃装置、滴定管等。</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84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45</w:t>
            </w:r>
          </w:p>
        </w:tc>
        <w:tc>
          <w:tcPr>
            <w:tcW w:w="102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备与屠宰加工规模相适应的废气收集处理系统、污水污物处理系统和病害猪及其产品无害化处理设施设备。屠宰厂若委托专业无害化处理厂进行病害畜禽及其产品无害化处理的，应配备病害畜禽及其产品暂存设施设备。</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46</w:t>
            </w:r>
          </w:p>
        </w:tc>
        <w:tc>
          <w:tcPr>
            <w:tcW w:w="102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设施设备标准化</w:t>
            </w:r>
          </w:p>
        </w:tc>
        <w:tc>
          <w:tcPr>
            <w:tcW w:w="11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设施设备</w:t>
            </w:r>
          </w:p>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完善达标</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屠宰厂应配备紧急供电、消防设施等能确保屠宰厂安全生产的设施设备。</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47</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屠宰厂应设有视频监控系统，安装在线视频监控设备，并实行中央控制。监控系统应与县级以上监管部门联网运行。</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48</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运输工具应根据产品特点和运输距离配备制冷</w:t>
            </w:r>
            <w:r>
              <w:rPr>
                <w:rStyle w:val="6"/>
                <w:rFonts w:hint="default" w:asciiTheme="minorEastAsia" w:hAnsiTheme="minorEastAsia" w:eastAsiaTheme="minorEastAsia"/>
              </w:rPr>
              <w:t>等设施，并有温度自动调控和记录监控装置。屠宰厂运输片</w:t>
            </w:r>
            <w:r>
              <w:rPr>
                <w:rFonts w:hint="eastAsia" w:cs="仿宋" w:asciiTheme="minorEastAsia" w:hAnsiTheme="minorEastAsia" w:eastAsiaTheme="minorEastAsia"/>
                <w:color w:val="000000"/>
                <w:kern w:val="0"/>
                <w:sz w:val="18"/>
                <w:szCs w:val="18"/>
              </w:rPr>
              <w:t>畜禽</w:t>
            </w:r>
            <w:r>
              <w:rPr>
                <w:rStyle w:val="6"/>
                <w:rFonts w:hint="default" w:asciiTheme="minorEastAsia" w:hAnsiTheme="minorEastAsia" w:eastAsiaTheme="minorEastAsia"/>
              </w:rPr>
              <w:t>肉应使用封闭和设有吊挂设施的专用车辆。</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49</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运输动物车辆出入口设置符合要求的消毒池，各车间的出入口处应设车轮、鞋靴等消毒设施。</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9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50</w:t>
            </w:r>
          </w:p>
        </w:tc>
        <w:tc>
          <w:tcPr>
            <w:tcW w:w="102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设有与屠宰加工规模相适应并与车间相接的更衣室、卫生间、淋浴间，上述场所不应对产品造成潜在的污染风险。不同清洁程度要求的区域应设有单独的更衣室。屠宰车间、隔离间、急宰间、无害化处理间、卫生间内等应设置与屠宰加工能力相适应的非手动式洗手、消毒设施、干手设施。</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51</w:t>
            </w:r>
          </w:p>
        </w:tc>
        <w:tc>
          <w:tcPr>
            <w:tcW w:w="102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生产经营</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规范化</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工艺合理</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屠宰工艺流程应包括喷淋、致昏、刺杀放血、脱毛或剥皮、预干燥、开膛、净腔、去头、去蹄尾、劈（锯）半、修整等。</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52</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屠宰全过程屠体、胴体、肉品和副产品不着地。屠宰过程中红脏与白脏应分别收集处理。</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53</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屠宰厂应配备与屠宰规模相适应的屠宰工人，屠宰工人应取得健康证明。屠宰厂应对屠宰工人定期开展身体健康检查。</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54</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操作规范</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畜禽入厂时，屠宰厂应查验生猪随附的畜禽标识,以及动物检疫合格证明、用药记录等。</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55</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屠宰厂对畜禽实行待宰静养，按批次分圈，宰前停食静养不少于12小时，宰前停止喂水不少于3小时。屠宰前6小时申报检疫。</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56</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屠宰厂应在屠宰车间显著位置张贴悬挂畜禽屠宰操作工作流程图和肉品品质检验工序位置图。</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57</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屠宰操作应符合《生猪屠宰操作规程》（GB/T 17236-2008）有关规定。</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58</w:t>
            </w:r>
          </w:p>
        </w:tc>
        <w:tc>
          <w:tcPr>
            <w:tcW w:w="102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屠宰厂肉品品质检验人员应在生猪进屠宰厂后，索要动物检疫合格证明进行查证验物。</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59</w:t>
            </w:r>
          </w:p>
        </w:tc>
        <w:tc>
          <w:tcPr>
            <w:tcW w:w="102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生产经营</w:t>
            </w:r>
          </w:p>
          <w:p>
            <w:pPr>
              <w:spacing w:line="240" w:lineRule="exact"/>
              <w:jc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规范化</w:t>
            </w:r>
          </w:p>
        </w:tc>
        <w:tc>
          <w:tcPr>
            <w:tcW w:w="11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操作规范</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肉品品质检验人员在待宰期间和送宰前应对生猪进行全面检查，确认健康，确认生猪宰前喷淋干净，生猪体表不应有灰尘、污泥、粪便。</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5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60</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屠宰厂肉品品质检验人员应在宰后对每头畜禽进行头部检验、体表检验、内脏检验、胴体初验、复验与盖章。</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61</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屠宰厂不同岗位的人员应以着装颜色进行区别。</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80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62</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污染控制</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屠宰厂应制定大肠杆菌等主要致病菌和指示菌的监控计划和操作程序，应采取修割、剔除、清洗、消毒等适当措施，避免环境和可疑病害猪胴体、组织、体液、肠胃内容物等污染其他肉品、设施设备和场地。</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105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63</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制定防止化学污染的控制计划和操作程序，除清洁消毒必需和工艺需要，不应在生产场所使用和存放能污染生猪或生猪产品的化学制剂。屠宰厂应使用食用油脂或能保证安全要求的其他油脂作为生产设备上可能直接或间接接触生猪或生猪产品的活动部件的润滑剂。</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6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64</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屠宰厂应制定防止异物污染的控制计划和操作程序，应通过设置金属检查器等设备，或采取有效措施降低金属或其他异物污染生猪或生猪产品的风险。</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6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65</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消毒彻底</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屠宰厂应定期进行除虫灭害工作，使用各类杀虫剂或其他药剂前，应做好预防措施,避免对人身、生猪或生猪产品、设备工具等造成污染；不慎污染时，应及时采取措施，消除污染。</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41"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66</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屠宰厂应每天对车间设施、设备清洗消毒。生产过程中，应对器具、操作台和接触生猪产品的加工表面定期进行清洗消毒，定期更换消毒药。</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8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67</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生猪屠宰、检验过程使用的器具、设备，如宰杀设备、检验刀具、开胸和开片刀具、检疫检验盛放内脏的托盘等，每次使用后，应使用82℃以上的热水进行清洗消毒。</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4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68</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品牌经营</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屠宰厂应具有自有肉类产品品牌，有完善的产品销售渠道。</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4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69</w:t>
            </w:r>
          </w:p>
        </w:tc>
        <w:tc>
          <w:tcPr>
            <w:tcW w:w="1022"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屠宰厂应具有与屠宰能力相适应的胴体分割、包装等畜禽产品深加工能力。</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24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70</w:t>
            </w:r>
          </w:p>
        </w:tc>
        <w:tc>
          <w:tcPr>
            <w:tcW w:w="102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屠宰厂应配有专用的肉品冷链运输车辆，具有完整的肉品配送体系。</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91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71</w:t>
            </w:r>
          </w:p>
        </w:tc>
        <w:tc>
          <w:tcPr>
            <w:tcW w:w="10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检测检验</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科学化</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装备齐全</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屠宰厂应建有与屠宰加工规模相适应的，具有旋毛虫、“瘦肉精”、抗生素、水分、细菌、挥发性盐基氮等理化、生化及残留检测检验能力的实验室，实验室各功能区应分开，相对独立。</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5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72</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屠宰厂检测检验用药剂应当由专人负责管理，安全存储，定期更新。易燃、易爆、剧毒、强腐蚀品不得混放，应设专柜存放，并由两人及以上共同负责管理。</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8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73</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屠宰厂若不具有残留检测设备，应委托具有资质的第三方检测机构进行检测，并与其签订检测协议。</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59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74</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检测要求</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屠宰厂应对每批屠宰加工产品进行“瘦肉精”、水分、挥发性盐基氮等肉品质量指标的检测。</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5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75</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屠宰厂应制定主要致病菌和指示菌等卫生指标检测方案，明确检测频次和数量，定期开展菌落总数、沙门氏菌等主要致病菌和指示菌的检测。</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2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76</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屠宰厂应根据屠宰环节肉品质量安全风险状况制定兽药、重金属等残留检测方案，明确检测频次和数量，定期开展抗生素和重金属残留检测。</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37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kern w:val="0"/>
                <w:sz w:val="20"/>
              </w:rPr>
            </w:pP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人员合格</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kern w:val="0"/>
                <w:sz w:val="18"/>
                <w:szCs w:val="18"/>
              </w:rPr>
            </w:pPr>
            <w:r>
              <w:rPr>
                <w:rFonts w:hint="eastAsia" w:cs="仿宋" w:asciiTheme="minorEastAsia" w:hAnsiTheme="minorEastAsia" w:eastAsiaTheme="minorEastAsia"/>
                <w:color w:val="000000"/>
                <w:kern w:val="0"/>
                <w:sz w:val="18"/>
                <w:szCs w:val="18"/>
              </w:rPr>
              <w:t>屠宰厂应按照《山西省动物防疫条例》要求，足额配备官方兽医，严格按照技术要求开展屠宰检疫。</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kern w:val="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9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77</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配备与屠宰加工规模相适应的肉品品质检验人员，包括实验室检测检验人员。从事肉品品质检验的人员，须具备中专以上或同等学历水平，并经考核合格。屠宰厂检测检验实验室的负责人，应具备兽医、食品或化学等相关专业大专以上或同等学历水平。</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9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78</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肉品品质检验人员（实验室检验人员）应具备“瘦肉精”类物质、水分含量、挥发性盐基氮及微生物等检测能力。</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69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79</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肉品品质检验人员应持健康证明上岗。屠宰厂应对肉品品质检验人员定期开展身体健康检查。</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96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80</w:t>
            </w:r>
          </w:p>
        </w:tc>
        <w:tc>
          <w:tcPr>
            <w:tcW w:w="10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kern w:val="0"/>
                <w:sz w:val="20"/>
              </w:rPr>
            </w:pPr>
            <w:r>
              <w:rPr>
                <w:rFonts w:hint="eastAsia" w:cs="楷体" w:asciiTheme="minorEastAsia" w:hAnsiTheme="minorEastAsia" w:eastAsiaTheme="minorEastAsia"/>
                <w:color w:val="000000"/>
                <w:kern w:val="0"/>
                <w:sz w:val="20"/>
              </w:rPr>
              <w:t>排放处理</w:t>
            </w:r>
          </w:p>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无害化</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流向科学</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屠宰厂副产品及废弃物流向不对合格产品和周围环境造成污染。</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77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81</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排放达标</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屠宰厂污水排放应符合环保要求。</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8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82</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屠宰厂应建立恶臭污染物收集处理系统，病害畜禽及其产品无害化处理产生的烟气等排放指标应符合环保要求。</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108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83</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cs="楷体" w:asciiTheme="minorEastAsia" w:hAnsiTheme="minorEastAsia" w:eastAsiaTheme="minorEastAsia"/>
                <w:color w:val="000000"/>
                <w:sz w:val="20"/>
              </w:rPr>
            </w:pPr>
            <w:r>
              <w:rPr>
                <w:rFonts w:hint="eastAsia" w:cs="楷体" w:asciiTheme="minorEastAsia" w:hAnsiTheme="minorEastAsia" w:eastAsiaTheme="minorEastAsia"/>
                <w:color w:val="000000"/>
                <w:kern w:val="0"/>
                <w:sz w:val="20"/>
              </w:rPr>
              <w:t>处理无害化</w:t>
            </w: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对屠宰加工过程中产生的污物、废弃物，屠宰前确认的病害畜禽、屠宰过程中经检疫或肉品品质检验确认为不可食用的生猪产品、召回生猪产品，以及其他应当进行无害化处理的生猪及其产品,应及时进行无害化处理。</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cs="仿宋" w:asciiTheme="minorEastAsia" w:hAnsiTheme="minorEastAsia" w:eastAsiaTheme="minorEastAsia"/>
                <w:color w:val="000000"/>
                <w:sz w:val="20"/>
              </w:rPr>
            </w:pPr>
            <w:r>
              <w:rPr>
                <w:rFonts w:hint="eastAsia" w:cs="仿宋" w:asciiTheme="minorEastAsia" w:hAnsiTheme="minorEastAsia" w:eastAsiaTheme="minorEastAsia"/>
                <w:color w:val="000000"/>
                <w:kern w:val="0"/>
                <w:sz w:val="20"/>
              </w:rPr>
              <w:t>★</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l2br w:val="single" w:color="000000" w:sz="4" w:space="0"/>
            </w:tcBorders>
            <w:noWrap/>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104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84</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无害化处理方法应符合《病死及病害动物无害化处理技术规范》及其他相关要求，防止散布病原、污染环境。</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r>
      <w:tr>
        <w:tblPrEx>
          <w:tblCellMar>
            <w:top w:w="0" w:type="dxa"/>
            <w:left w:w="0" w:type="dxa"/>
            <w:bottom w:w="0" w:type="dxa"/>
            <w:right w:w="0" w:type="dxa"/>
          </w:tblCellMar>
        </w:tblPrEx>
        <w:trPr>
          <w:trHeight w:val="97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Theme="minorEastAsia" w:hAnsiTheme="minorEastAsia" w:eastAsiaTheme="minorEastAsia"/>
                <w:color w:val="000000"/>
                <w:sz w:val="20"/>
              </w:rPr>
            </w:pPr>
            <w:r>
              <w:rPr>
                <w:rFonts w:hint="eastAsia" w:asciiTheme="minorEastAsia" w:hAnsiTheme="minorEastAsia" w:eastAsiaTheme="minorEastAsia"/>
                <w:color w:val="000000"/>
                <w:kern w:val="0"/>
                <w:sz w:val="20"/>
              </w:rPr>
              <w:t>85</w:t>
            </w:r>
          </w:p>
        </w:tc>
        <w:tc>
          <w:tcPr>
            <w:tcW w:w="10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cs="楷体" w:asciiTheme="minorEastAsia" w:hAnsiTheme="minorEastAsia" w:eastAsiaTheme="minorEastAsia"/>
                <w:color w:val="000000"/>
                <w:sz w:val="20"/>
              </w:rPr>
            </w:pPr>
          </w:p>
        </w:tc>
        <w:tc>
          <w:tcPr>
            <w:tcW w:w="6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仿宋" w:asciiTheme="minorEastAsia" w:hAnsiTheme="minorEastAsia" w:eastAsiaTheme="minorEastAsia"/>
                <w:color w:val="000000"/>
                <w:sz w:val="18"/>
                <w:szCs w:val="18"/>
              </w:rPr>
            </w:pPr>
            <w:r>
              <w:rPr>
                <w:rFonts w:hint="eastAsia" w:cs="仿宋" w:asciiTheme="minorEastAsia" w:hAnsiTheme="minorEastAsia" w:eastAsiaTheme="minorEastAsia"/>
                <w:color w:val="000000"/>
                <w:kern w:val="0"/>
                <w:sz w:val="18"/>
                <w:szCs w:val="18"/>
              </w:rPr>
              <w:t>未建立病害畜禽及其产品无害化处理设施设备的屠宰厂，应就近委托具有资质的专业无害化处理厂进行无害化处理，并签订无害化处理委托协议书。</w:t>
            </w:r>
          </w:p>
        </w:tc>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left"/>
              <w:rPr>
                <w:rFonts w:cs="仿宋" w:asciiTheme="minorEastAsia" w:hAnsiTheme="minorEastAsia" w:eastAsiaTheme="minorEastAsia"/>
                <w:color w:val="000000"/>
                <w:sz w:val="20"/>
              </w:rPr>
            </w:pP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cs="仿宋" w:asciiTheme="minorEastAsia" w:hAnsiTheme="minorEastAsia" w:eastAsiaTheme="minorEastAsia"/>
                <w:color w:val="000000"/>
                <w:sz w:val="20"/>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4573"/>
    <w:rsid w:val="7FCF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41"/>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2022-07-19T17:38:00Z</dcterms:created>
  <dc:creator>baixin</dc:creator>
  <cp:lastModifiedBy>baixin</cp:lastModifiedBy>
  <dcterms:modified xsi:type="dcterms:W3CDTF">2022-07-19T17:39:00Z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