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jc w:val="left"/>
        <w:textAlignment w:val="auto"/>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90" w:lineRule="exact"/>
        <w:ind w:left="0" w:leftChars="0"/>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山西省农垦带头扩种大豆油料行动宣传</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工作方案</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ascii="宋体" w:hAnsi="宋体" w:eastAsia="宋体"/>
          <w:b/>
          <w:bCs/>
          <w:sz w:val="36"/>
          <w:szCs w:val="36"/>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带头扩种大豆油料是农垦系统深入贯彻落实中央决策部署的重要举措，是农垦完成国家战略任务责任担当的具体体现。为营造良好的舆论氛围和社会环境、充分调动我省农垦国有农场和农工扩种大豆油料的积极性、推动山西省农垦胜利完成带头扩种大豆油料任务，决定组织开展系列宣传活动，特制定工作方案如下：</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一、目标任务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扩种大豆油料的重要意义，引导我省农垦系统担负起国家赋予的职责使命，成为在关键时刻抓得住、用得上的重要力量，圆满完成我省农垦带头扩种大豆油料行动任务；宣传农垦扩种大豆油料涌现的好模式好经验，营造比学赶超的氛围，发挥农垦示范引领、辐射带动作用；宣传农垦大豆油料一二三产业融合发展的特点，推广农垦建设大豆油料加工、仓储、运输全产业链的经验；宣传我省农垦带头扩种大豆油料的成效，彰显农垦保障国家粮食安全和重要农产品有效供给的国家队作用。</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二、宣传原则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坚持以内部宣传为主、外部宣传为辅，以点上情况为主、面上情况为辅，以市属媒体为主、省属媒体为辅，以成效宣传为主、过程宣传为辅的原则，充分利用农业农村厅内部宣传渠道，统筹利用广播、电视、网络等媒体渠道，构建上下左右联动宣传网络，宣传政策措施，总结经验成效，有效发挥舆论引导作用，营造良好舆论氛围。</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三、宣传内容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（一）宣传国家和我省关于保障粮食安全的决策部署、提高大豆油料自给率的任务要求以及农业农村部的部署安排等，使农场和农工充分认识到扩种大豆油料的重要意义。</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（二）宣传山西省农垦系统切实落实党中央战略部署、弘扬“艰苦奋斗、勇于开拓”农垦精神的决心和事例，调动农垦带头扩种大豆油料行动的积极性、主动性。</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（三）宣传中央和省市支持扩种大豆油料方面出台的相关政策，让农场和广大农工吃下定心丸。了解未来预期，增强扩种大豆油料的信心。</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（四）宣传农垦规模、组织、技术等优势，推介提高单产水平、提升种植效益、辐射带动地方的先进技术、集成模式、典型经验。</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（五）宣传农垦大豆油料加工储运优势，推广产加销一体化运营模式，展现农垦一二三产业融合发展成果，支持垦地共建大豆油料全产业链，打造大豆油料产业集群。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（六）总结农垦带头扩种大豆油料取得的成效和经验，表扬先进集体和先进个人，宣传优秀人物事迹等。</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四、宣传方式</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（一）积极开展宣传。</w:t>
      </w:r>
      <w:r>
        <w:rPr>
          <w:rFonts w:hint="eastAsia" w:ascii="仿宋_GB2312" w:hAnsi="仿宋_GB2312" w:eastAsia="仿宋_GB2312" w:cs="仿宋_GB2312"/>
          <w:sz w:val="32"/>
          <w:szCs w:val="32"/>
        </w:rPr>
        <w:t>各市要充分利用省市主流媒体和山西农民日报、山西农业12316等媒体，以及农业系列传媒平台宣传支持政策、推介好模式好经验。</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（二）坚持重要节点集中宣传与日常持续宣传相结合。</w:t>
      </w:r>
      <w:r>
        <w:rPr>
          <w:rFonts w:hint="eastAsia" w:ascii="仿宋_GB2312" w:hAnsi="仿宋_GB2312" w:eastAsia="仿宋_GB2312" w:cs="仿宋_GB2312"/>
          <w:sz w:val="32"/>
          <w:szCs w:val="32"/>
        </w:rPr>
        <w:t>各市要集中宣传方面，在春耕、夏收、秋收等重要时间节点，通过刊发专版、编发新闻通稿等方式，在各级、各类媒体上就共同话题集中进行系列报道。日常宣传方面，用好各类媒体对新措施、新技术、好经验、好做法进行及时宣传报道；充分发挥新媒体作用，利用微信公众号、短视频等发布形象生动的短视频等信息，吸引受众，提高关注度。</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（三）坚持系统宣传与垦区宣传相结合。</w:t>
      </w:r>
      <w:r>
        <w:rPr>
          <w:rFonts w:hint="eastAsia" w:ascii="仿宋_GB2312" w:hAnsi="仿宋_GB2312" w:eastAsia="仿宋_GB2312" w:cs="仿宋_GB2312"/>
          <w:sz w:val="32"/>
          <w:szCs w:val="32"/>
        </w:rPr>
        <w:t>各市要充分调度垦区积极性，鼓励农垦农场利用本地媒体和自有媒体及时发布各类动态消息，扩大宣传的覆盖面。建立垦区宣传联络员机制，定期上报新闻稿件和工作信息，根据采纳数量和质量，对工作突出单位和个人给予表扬。</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五、工作计划</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（一）春耕备耕。</w:t>
      </w:r>
      <w:r>
        <w:rPr>
          <w:rFonts w:hint="eastAsia" w:ascii="仿宋_GB2312" w:hAnsi="仿宋_GB2312" w:eastAsia="仿宋_GB2312" w:cs="仿宋_GB2312"/>
          <w:sz w:val="32"/>
          <w:szCs w:val="32"/>
        </w:rPr>
        <w:t>2022年4-5月，各市调度农垦国有农场大豆等油料春耕备耕情况，在相关媒体发布相关通讯报道。</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仿宋" w:hAnsi="仿宋" w:eastAsia="仿宋"/>
          <w:sz w:val="32"/>
          <w:szCs w:val="32"/>
        </w:rPr>
      </w:pPr>
      <w:r>
        <w:rPr>
          <w:rFonts w:hint="eastAsia" w:ascii="楷体_GB2312" w:hAnsi="楷体_GB2312" w:eastAsia="楷体_GB2312" w:cs="楷体_GB2312"/>
          <w:b w:val="0"/>
          <w:bCs w:val="0"/>
          <w:sz w:val="32"/>
          <w:szCs w:val="32"/>
        </w:rPr>
        <w:t>（二）生产管理。</w:t>
      </w:r>
      <w:r>
        <w:rPr>
          <w:rFonts w:hint="eastAsia" w:ascii="仿宋_GB2312" w:hAnsi="仿宋_GB2312" w:eastAsia="仿宋_GB2312" w:cs="仿宋_GB2312"/>
          <w:sz w:val="32"/>
          <w:szCs w:val="32"/>
        </w:rPr>
        <w:t>2022年6-9月，视疫情情况，各市适时组织媒体赴相关农垦企业实地采访调研或电话调研，并组织有关农垦企业提供素材供媒体集中刊发。对发现的典型及时编发“农垦带头扩种大豆油料行动专刊”，择优整理报送我厅。</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（三）成果总结。</w:t>
      </w:r>
      <w:r>
        <w:rPr>
          <w:rFonts w:hint="eastAsia" w:ascii="仿宋_GB2312" w:hAnsi="仿宋_GB2312" w:eastAsia="仿宋_GB2312" w:cs="仿宋_GB2312"/>
          <w:sz w:val="32"/>
          <w:szCs w:val="32"/>
        </w:rPr>
        <w:t>2022年10—12月，各市要组织媒体结合自身定位围绕行动总体成效刊发综述报道，撰写农垦带头扩种大豆油料行动总结，报送我厅农垦与渔业渔政管理局。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六、工作保障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（一）加强分工协作。</w:t>
      </w:r>
      <w:r>
        <w:rPr>
          <w:rFonts w:hint="eastAsia" w:ascii="仿宋_GB2312" w:hAnsi="仿宋_GB2312" w:eastAsia="仿宋_GB2312" w:cs="仿宋_GB2312"/>
          <w:sz w:val="32"/>
          <w:szCs w:val="32"/>
        </w:rPr>
        <w:t>各市负责信息调度，撰写总结材料、新闻通稿、简报信息等，推动在自有媒体和地方媒体开展宣传；我厅农垦与渔业渔政管理局负责组织和联系相关媒体落实有关宣传工作计划，在省农业农村厅网站平台上进行日常宣传。</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（二）建立上下联动机制。</w:t>
      </w:r>
      <w:r>
        <w:rPr>
          <w:rFonts w:hint="eastAsia" w:ascii="仿宋_GB2312" w:hAnsi="仿宋_GB2312" w:eastAsia="仿宋_GB2312" w:cs="仿宋_GB2312"/>
          <w:sz w:val="32"/>
          <w:szCs w:val="32"/>
        </w:rPr>
        <w:t>各市要充分利用农垦系统宣传力量，打造上下联动、深入互动、联合行动的宣传机制，全面利用省市媒体各自优势，系统宣传政策措施、典型案例，共同营造农垦系统全力完成扩种任务的环境。各市在做好自身宣传的同时，及时将有关报道和信息报送我厅农垦与渔业渔政管理局，全年不少于5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（三）加强选题策划。</w:t>
      </w:r>
      <w:r>
        <w:rPr>
          <w:rFonts w:hint="eastAsia" w:ascii="仿宋_GB2312" w:hAnsi="仿宋_GB2312" w:eastAsia="仿宋_GB2312" w:cs="仿宋_GB2312"/>
          <w:sz w:val="32"/>
          <w:szCs w:val="32"/>
        </w:rPr>
        <w:t>各市要加强与媒体的联系沟通，聚焦农垦带头扩种大豆油料，围绕工作重点，挖掘工作亮点，分析问题难点，如实、全面、准确反映工作全景、作业单元、全行业整体风貌。及时梳理相关背景材料，加强沟通协调，捕捉新闻热点，策划重点题材，确保宣传信息既有总体情况又有典型案例，既有垦区的好经验好做法又有政策支持、体制机制成果成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sectPr>
          <w:footerReference r:id="rId3" w:type="default"/>
          <w:pgSz w:w="11906" w:h="16838"/>
          <w:pgMar w:top="1814" w:right="1531" w:bottom="1757" w:left="1531" w:header="851" w:footer="1701" w:gutter="0"/>
          <w:pgNumType w:fmt="numberInDash"/>
          <w:cols w:space="720" w:num="1"/>
          <w:rtlGutter w:val="0"/>
          <w:docGrid w:linePitch="634"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00"/>
    <w:family w:val="modern"/>
    <w:pitch w:val="default"/>
    <w:sig w:usb0="00000000" w:usb1="00000000" w:usb2="00000000" w:usb3="00000000" w:csb0="00040000" w:csb1="00000000"/>
  </w:font>
  <w:font w:name="楷体_GB2312">
    <w:altName w:val="宋体"/>
    <w:panose1 w:val="02010609030101010101"/>
    <w:charset w:val="00"/>
    <w:family w:val="auto"/>
    <w:pitch w:val="default"/>
    <w:sig w:usb0="00000000" w:usb1="0000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F52D9"/>
    <w:rsid w:val="FEFF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2022-04-20T09:51:00Z</dcterms:created>
  <dc:creator>baixin</dc:creator>
  <cp:lastModifiedBy>baixin</cp:lastModifiedBy>
  <dcterms:modified xsi:type="dcterms:W3CDTF">2022-04-20T09:52:29Z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