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40"/>
        </w:tabs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  <w:t>水产品中地西泮检测方法及判定限量值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hint="eastAsia"/>
        </w:rPr>
      </w:pPr>
    </w:p>
    <w:tbl>
      <w:tblPr>
        <w:tblStyle w:val="4"/>
        <w:tblW w:w="8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5842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检测指标</w:t>
            </w:r>
          </w:p>
        </w:tc>
        <w:tc>
          <w:tcPr>
            <w:tcW w:w="58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检测方法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判定限量值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地西泮</w:t>
            </w:r>
          </w:p>
        </w:tc>
        <w:tc>
          <w:tcPr>
            <w:tcW w:w="584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SN/T 3235-2012 出口动物源食品中多类禁用药物残留量检测方法  液相色谱-质谱/质谱法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u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g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/k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g</w:t>
            </w:r>
          </w:p>
        </w:tc>
      </w:tr>
    </w:tbl>
    <w:p/>
    <w:p>
      <w:pPr>
        <w:spacing w:line="620" w:lineRule="exact"/>
        <w:ind w:firstLine="1078" w:firstLineChars="337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宋体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FF1493"/>
    <w:rsid w:val="FD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 of authorities1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2022-08-05T11:36:00Z</dcterms:created>
  <dc:creator>baixin</dc:creator>
  <cp:lastModifiedBy>baixin</cp:lastModifiedBy>
  <dcterms:modified xsi:type="dcterms:W3CDTF">2022-08-05T11:36:38Z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