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CEC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ind w:firstLine="8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年全省种业监管执法年活动方案</w:t>
      </w:r>
      <w:bookmarkEnd w:id="0"/>
    </w:p>
    <w:p w14:paraId="72E07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color w:val="auto"/>
          <w:sz w:val="36"/>
          <w:szCs w:val="36"/>
        </w:rPr>
      </w:pPr>
    </w:p>
    <w:p w14:paraId="1A3B0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</w:rPr>
        <w:t>为深入贯彻种业振兴行动部署，严格种业市场监管，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lang w:eastAsia="zh-CN"/>
        </w:rPr>
        <w:t>严厉打击非法制种、假冒伪劣、套牌侵权等违法行为，根据农业农村部办公厅关于印发《2025年全国种业监管执法年活动方案》的通知（农办种〔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lang w:eastAsia="zh-CN"/>
        </w:rPr>
        <w:t>〕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lang w:val="en-US" w:eastAsia="zh-CN"/>
        </w:rPr>
        <w:t>5号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lang w:eastAsia="zh-CN"/>
        </w:rPr>
        <w:t>）精神，决定继续开展全省种业监管执法年活动（以下简称活动）并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</w:rPr>
        <w:t>制定活动方案。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lang w:eastAsia="zh-CN"/>
        </w:rPr>
        <w:t>活动要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</w:rPr>
        <w:t>紧盯种业振兴“五年见成效”目标任务，聚焦种业知识产权保护和种源质量提升，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lang w:val="en-US" w:eastAsia="zh-CN"/>
        </w:rPr>
        <w:t>坚持“露头就打”常态化监管与集中开展专项整治行动相结合，强化市场、企业、基地监督检查，强化省市县三级联动、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lang w:eastAsia="zh-CN"/>
        </w:rPr>
        <w:t>部门协同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</w:rPr>
        <w:t>，推进全链条全流程监管执法，省级制种基地县和良种繁育基地监督检查覆盖率、种子生产经营备案率、投诉举报案件查处反馈率达到100%，为粮油等主要作物大面积单产提升提供高质量种源支撑。</w:t>
      </w:r>
    </w:p>
    <w:p w14:paraId="71C034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72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6"/>
          <w:szCs w:val="36"/>
          <w:lang w:val="en-US" w:eastAsia="zh-CN" w:bidi="ar"/>
        </w:rPr>
        <w:t>一、聚焦关键农时强化监管</w:t>
      </w:r>
    </w:p>
    <w:p w14:paraId="4FD2CC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lang w:eastAsia="zh-CN"/>
        </w:rPr>
        <w:t>春秋季开展种子市场监督检查，重点检查种子标签、销售台账、经营备案及种子质量、品种真实性等。严查未按规定引种备案，严打制售假劣、超出适宜种植区域销售行为。夏季开展制种基地检查，重点检查种子生产备案、品种真实性及亲本来源等。严查未按规定备案行为，严厉打击非法制种、盗取亲本、抢购套购等侵权行为。支持引导制种企业申请实施种子认证。冬季开展种子企业监督抽查，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</w:rPr>
        <w:t>重点检查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lang w:eastAsia="zh-CN"/>
        </w:rPr>
        <w:t>许可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</w:rPr>
        <w:t>资质、生产经营档案、包装标签和种子质量、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lang w:eastAsia="zh-CN"/>
        </w:rPr>
        <w:t>品种真实性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</w:rPr>
        <w:t>等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lang w:eastAsia="zh-CN"/>
        </w:rPr>
        <w:t>，严防不合格种子流入市场。对发现问题多、投诉举报多的主体，适当加大抽查频次。对承担国家和省级救灾备荒储备任务的主体开展全覆盖检查。</w:t>
      </w:r>
    </w:p>
    <w:p w14:paraId="4E7865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72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  <w:t>二、加大涉种案件查处力度</w:t>
      </w:r>
    </w:p>
    <w:p w14:paraId="0CF43B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lang w:val="en-US" w:eastAsia="zh-CN"/>
        </w:rPr>
        <w:t>继续开展涉种案件摸底调查，系统掌握全省案件发生类型、数量、重点区域和违法主体等关键信息，指导各地强化监管执法，推动涉种案件快速有效处置。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lang w:eastAsia="zh-CN"/>
        </w:rPr>
        <w:t>开展种业专业技术和种业市场监督执法培训，提升执法人员执法能力和水平。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lang w:val="en-US" w:eastAsia="zh-CN"/>
        </w:rPr>
        <w:t>强化以案示警、以案促治，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</w:rPr>
        <w:t>以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lang w:val="en-US" w:eastAsia="zh-CN"/>
        </w:rPr>
        <w:t>假冒伪劣、套牌侵权等违法行为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</w:rPr>
        <w:t>为重点，公开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lang w:eastAsia="zh-CN"/>
        </w:rPr>
        <w:t>重点案件查处结果和违法典型案例，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  <w:t>发挥警示作用。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lang w:eastAsia="zh-CN"/>
        </w:rPr>
        <w:t>公布举报电话、邮箱等，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lang w:val="en-US" w:eastAsia="zh-CN"/>
        </w:rPr>
        <w:t>广泛收集违法线索，按属地管理原则，强化责任落实，对问题线索及时跟进处置。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  <w:t>加大案件查办力度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lang w:val="en-US" w:eastAsia="zh-CN"/>
        </w:rPr>
        <w:t>强化行政执法与刑事司法衔接，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lang w:eastAsia="zh-CN"/>
        </w:rPr>
        <w:t>对涉嫌构成犯罪的案件，及时移送公安机关处理。</w:t>
      </w:r>
    </w:p>
    <w:p w14:paraId="08576E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720" w:firstLineChars="200"/>
        <w:textAlignment w:val="auto"/>
        <w:rPr>
          <w:rFonts w:hint="eastAsia"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三、开</w:t>
      </w:r>
      <w:r>
        <w:rPr>
          <w:rFonts w:hint="eastAsia" w:ascii="黑体" w:hAnsi="黑体" w:eastAsia="黑体" w:cs="黑体"/>
          <w:color w:val="auto"/>
          <w:sz w:val="36"/>
          <w:szCs w:val="36"/>
        </w:rPr>
        <w:t>展品种审定“两个通道”整治</w:t>
      </w:r>
    </w:p>
    <w:p w14:paraId="6877A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</w:rPr>
        <w:t>严格品种来源真实性核查，优化品种试验方案。持续整治品种审定绿色通道、联合体试验，加大监督抽查力度，从严查处弄虚作假等行为。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lang w:eastAsia="zh-CN"/>
        </w:rPr>
        <w:t>积极主动配合农业农村部做好“仿种子”品种清理。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</w:rPr>
        <w:t>加快修订我省小麦品种审定标准，与国家级品种审定标准衔接，提高品种审定准入门槛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lang w:eastAsia="zh-CN"/>
        </w:rPr>
        <w:t>。</w:t>
      </w:r>
    </w:p>
    <w:p w14:paraId="5157DC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72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  <w:t>四、开展网络售种专项整治</w:t>
      </w:r>
    </w:p>
    <w:p w14:paraId="1BE41A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lang w:eastAsia="zh-CN"/>
        </w:rPr>
        <w:t>落实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</w:rPr>
        <w:t>“线上线下一体化”监管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lang w:eastAsia="zh-CN"/>
        </w:rPr>
        <w:t>要求，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</w:rPr>
        <w:t>督促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lang w:eastAsia="zh-CN"/>
        </w:rPr>
        <w:t>网络售种生产经营者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</w:rPr>
        <w:t>严格落实种子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lang w:eastAsia="zh-CN"/>
        </w:rPr>
        <w:t>生产经营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</w:rPr>
        <w:t>许可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lang w:eastAsia="zh-CN"/>
        </w:rPr>
        <w:t>和销售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</w:rPr>
        <w:t>备案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lang w:eastAsia="zh-CN"/>
        </w:rPr>
        <w:t>制度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lang w:val="en-US" w:eastAsia="zh-CN"/>
        </w:rPr>
        <w:t>加大网络售种抽查检查力度，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lang w:eastAsia="zh-CN"/>
        </w:rPr>
        <w:t>采取线上购种检测与线下抽检相结合的方式对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</w:rPr>
        <w:t>网络销售种子质量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lang w:eastAsia="zh-CN"/>
        </w:rPr>
        <w:t>进行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</w:rPr>
        <w:t>抽检，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lang w:eastAsia="zh-CN"/>
        </w:rPr>
        <w:t>及时查处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</w:rPr>
        <w:t>网络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lang w:eastAsia="zh-CN"/>
        </w:rPr>
        <w:t>违规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</w:rPr>
        <w:t>售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lang w:eastAsia="zh-CN"/>
        </w:rPr>
        <w:t>种等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</w:rPr>
        <w:t>行为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6"/>
          <w:szCs w:val="36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lang w:val="en-US" w:eastAsia="zh-CN"/>
        </w:rPr>
        <w:t>强化案件线索收集和信息共享，及时查处违法违规行为。鼓励电商平台出台优惠政策，引导优质企业入驻。</w:t>
      </w:r>
    </w:p>
    <w:p w14:paraId="57755F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72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  <w:t>五、开展牛冷冻精液专项整治</w:t>
      </w:r>
    </w:p>
    <w:p w14:paraId="03B36D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u w:val="none"/>
          <w:lang w:eastAsia="zh-CN"/>
        </w:rPr>
        <w:t>严格生产经营许可管理，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lang w:eastAsia="zh-CN"/>
        </w:rPr>
        <w:t>对辖区内牛冷冻精液生产经营企业进行全面梳理，对不具备许可条件或存在违法违规生产经营行为的要严肃依法处理。探索“检打联动”机制，严厉打击销售伪劣冻精、未经审批进口冻精等违法违规行为。积极支持优势企业加强基础设施建设，对企业引种、生产经营、推广开展全过程技术指导。提高人工授精员队伍技术水平，指导规范使用牛冷冻精液。</w:t>
      </w:r>
    </w:p>
    <w:p w14:paraId="00721C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72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  <w:t>六、开展马铃薯种薯和食用菌菌种专项整治</w:t>
      </w:r>
    </w:p>
    <w:p w14:paraId="4BC538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lang w:val="en-US" w:eastAsia="zh-CN"/>
        </w:rPr>
        <w:t>聚焦省级马铃薯良种繁育基地等区域，在生产、仓储和销售环节，重点核查企业生产经营资质、种子标签和备案情况，严厉查处无证生产经营、标签标注不规范等违法违规行为，维护马铃薯种薯市场秩序。聚焦食用菌菌种生产经营单位，以香菇、草菇、滑子菇、黑木耳、羊肚菌等为重点，重点核查企业生产经营资质和备案情况，促进菌种市场规范。积极探索马铃薯种薯和食用菌菌种有效监管方式，遏制违法违规行为，营造良好市场环境。</w:t>
      </w:r>
    </w:p>
    <w:p w14:paraId="557B3B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72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  <w:t>七、强化法规制度建设</w:t>
      </w:r>
    </w:p>
    <w:p w14:paraId="254D05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lang w:eastAsia="zh-CN"/>
        </w:rPr>
        <w:t>加快制定出台省级农作物库圃管理规范。落实新制定的《种畜禽生产经营许可管理办法》和新修订的玉米、水稻、油菜等种子质量强制性国家标准，加大宣贯力度。进一步严格和规范标准样品管理，配合农业农村部开展品种标准样品清理，推动建立健全“一品种、一名称、一标样、一指纹”为主要内容的品种身份证管理。落实国家种子认证相关制度规范，继续在全省推广种子认证技术。</w:t>
      </w:r>
    </w:p>
    <w:p w14:paraId="32B40C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720" w:firstLineChars="200"/>
        <w:textAlignment w:val="auto"/>
        <w:rPr>
          <w:rFonts w:hint="eastAsia" w:ascii="楷体_GB2312" w:hAnsi="Calibri" w:eastAsia="楷体_GB2312" w:cs="楷体_GB2312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6"/>
          <w:szCs w:val="36"/>
          <w:lang w:val="en-US" w:eastAsia="zh-CN" w:bidi="ar"/>
        </w:rPr>
        <w:t>八、继续开展种子生产经营许可核查</w:t>
      </w:r>
    </w:p>
    <w:p w14:paraId="04F371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color w:val="auto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6"/>
          <w:szCs w:val="36"/>
          <w:lang w:val="en-US" w:eastAsia="zh-CN"/>
        </w:rPr>
        <w:t>组织开展农作物种子生产经营许可核查，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lang w:val="en-US" w:eastAsia="zh-CN"/>
        </w:rPr>
        <w:t>按照“谁审批、谁负责，谁主管、谁监管”原则，重点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lang w:val="en-US" w:eastAsia="zh-CN"/>
        </w:rPr>
        <w:t>核对企业生产经营状况、条件资质和生产经营行为三方面情况。以种业大数据系统</w:t>
      </w:r>
      <w:r>
        <w:rPr>
          <w:rFonts w:hint="default" w:ascii="仿宋_GB2312" w:hAnsi="仿宋_GB2312" w:eastAsia="仿宋_GB2312" w:cs="仿宋_GB2312"/>
          <w:color w:val="auto"/>
          <w:sz w:val="36"/>
          <w:szCs w:val="36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lang w:val="en-US" w:eastAsia="zh-CN"/>
        </w:rPr>
        <w:t>年种子企业生产经营统计信息为基础，核对企业生产经营状况。对于停止生产经营活动</w:t>
      </w:r>
      <w:r>
        <w:rPr>
          <w:rFonts w:hint="default" w:ascii="仿宋_GB2312" w:hAnsi="仿宋_GB2312" w:eastAsia="仿宋_GB2312" w:cs="仿宋_GB2312"/>
          <w:color w:val="auto"/>
          <w:sz w:val="36"/>
          <w:szCs w:val="36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lang w:val="en-US" w:eastAsia="zh-CN"/>
        </w:rPr>
        <w:t>年以上，经核对确实不再开展生产经营的，以及不再具备规定的许可条件且经限期整改仍达不到要求的，要依法注销其许可证。对于提供虚假材料等骗取生产经营许可证的，要依法予以撤销。对于存在严重违法违规行为的，要依法吊销其许可证。</w:t>
      </w:r>
    </w:p>
    <w:p w14:paraId="120C93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72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6"/>
          <w:szCs w:val="36"/>
          <w:lang w:val="en-US" w:eastAsia="zh-CN" w:bidi="ar"/>
        </w:rPr>
        <w:t>九、加强种子检验机构管理</w:t>
      </w:r>
    </w:p>
    <w:p w14:paraId="04D859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lang w:val="en-US" w:eastAsia="zh-CN"/>
        </w:rPr>
        <w:t>强化检验机构考评专家能力建设，规范检验机构考核程序，提高考核工作质量。组织开展种子检验机构相关负责人专题培训，提升检验机构管理运行水平。指导辖区内种子检验机构开展自查工作，针对自查发现的问题做好整改。组织辖区种子检验机构积极参加部级能力验证和监督抽查，接受部级专项检查，对于部级反馈的验证抽查结果和检查发现的问题，指导种子检验机构按要求及时完成整改。</w:t>
      </w:r>
    </w:p>
    <w:p w14:paraId="6ADB5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lang w:eastAsia="zh-CN"/>
        </w:rPr>
        <w:t>各级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</w:rPr>
        <w:t>农业农村部门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lang w:eastAsia="zh-CN"/>
        </w:rPr>
        <w:t>要提高重视程度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lang w:eastAsia="zh-CN"/>
        </w:rPr>
        <w:t>结合本地实际进一步实化细化工作安排，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</w:rPr>
        <w:t>明确责任主体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lang w:eastAsia="zh-CN"/>
        </w:rPr>
        <w:t>具体措施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lang w:eastAsia="zh-CN"/>
        </w:rPr>
        <w:t>强化舆情监测研判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lang w:eastAsia="zh-CN"/>
        </w:rPr>
        <w:t>提升监管执法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lang w:val="en-US" w:eastAsia="zh-CN"/>
        </w:rPr>
        <w:t>效能，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</w:rPr>
        <w:t>抓好组织落实。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lang w:eastAsia="zh-CN"/>
        </w:rPr>
        <w:t>省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</w:rPr>
        <w:t>厅将适时组织开展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lang w:eastAsia="zh-CN"/>
        </w:rPr>
        <w:t>对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</w:rPr>
        <w:t>制种基地、种子市场、种子企业等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lang w:eastAsia="zh-CN"/>
        </w:rPr>
        <w:t>调研指导和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</w:rPr>
        <w:t>监督抽查。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lang w:eastAsia="zh-CN"/>
        </w:rPr>
        <w:t>市县两级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</w:rPr>
        <w:t>要按照部署抓好具体任务落实落地，及时梳理总结种业监管执法年活动的做法成效、存在问题和相关建议，于12月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lang w:val="en-US" w:eastAsia="zh-CN"/>
        </w:rPr>
        <w:t>15日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</w:rPr>
        <w:t>前将年度工作总结及2个以上典型案例书面报送厅种业管理处。</w:t>
      </w:r>
    </w:p>
    <w:p w14:paraId="35ED9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</w:rPr>
      </w:pPr>
    </w:p>
    <w:sectPr>
      <w:footerReference r:id="rId3" w:type="default"/>
      <w:pgSz w:w="11906" w:h="16838"/>
      <w:pgMar w:top="2438" w:right="1701" w:bottom="1701" w:left="1701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ans">
    <w:altName w:val="思源宋体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Noto Sans CJK SC Regular">
    <w:altName w:val="思源黑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思源黑体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184B3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B5A755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1B5A755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hyphenationZone w:val="360"/>
  <w:drawingGridHorizontalSpacing w:val="1"/>
  <w:drawingGridVerticalSpacing w:val="1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BB1027"/>
    <w:rsid w:val="6E3D68C3"/>
    <w:rsid w:val="7DBA9B75"/>
    <w:rsid w:val="BBDB8DD8"/>
    <w:rsid w:val="FDFF855A"/>
    <w:rsid w:val="FFFF2F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4">
    <w:name w:val="Body Text"/>
    <w:basedOn w:val="1"/>
    <w:qFormat/>
    <w:uiPriority w:val="0"/>
    <w:pPr>
      <w:spacing w:before="0" w:after="140" w:line="276" w:lineRule="auto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"/>
    <w:basedOn w:val="4"/>
    <w:qFormat/>
    <w:uiPriority w:val="0"/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1">
    <w:name w:val="默认段落字体1"/>
    <w:qFormat/>
    <w:uiPriority w:val="0"/>
  </w:style>
  <w:style w:type="paragraph" w:customStyle="1" w:styleId="12">
    <w:name w:val="Heading"/>
    <w:basedOn w:val="1"/>
    <w:next w:val="4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3">
    <w:name w:val="Index"/>
    <w:basedOn w:val="1"/>
    <w:qFormat/>
    <w:uiPriority w:val="0"/>
    <w:pPr>
      <w:widowControl w:val="0"/>
      <w:suppressLineNumbers/>
      <w:suppressAutoHyphens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0</Words>
  <Characters>0</Characters>
  <Lines>0</Lines>
  <Paragraphs>0</Paragraphs>
  <TotalTime>453</TotalTime>
  <ScaleCrop>false</ScaleCrop>
  <LinksUpToDate>false</LinksUpToDate>
  <CharactersWithSpaces>0</CharactersWithSpaces>
  <Application>WPS Office_12.8.2.19831_F1E327BC-269C-435d-A152-05C5408002CA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2018-12-05T17:47:00Z</dcterms:created>
  <dc:creator>baixin</dc:creator>
  <cp:lastModifiedBy>张飞宇</cp:lastModifiedBy>
  <cp:lastPrinted>2025-05-07T17:13:00Z</cp:lastPrinted>
  <dcterms:modified xsi:type="dcterms:W3CDTF">2025-05-13T15:18:25Z</dcterms:modified>
  <dc:title>山西省农业农村厅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2052-12.8.2.19831</vt:lpwstr>
  </property>
  <property fmtid="{D5CDD505-2E9C-101B-9397-08002B2CF9AE}" pid="3" name="ICV">
    <vt:lpwstr>AC47AEC45B5CD8AE41F222682DE3E8BC_43</vt:lpwstr>
  </property>
</Properties>
</file>