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3"/>
        <w:bidi w:val="0"/>
        <w:rPr>
          <w:rFonts w:hint="eastAsia"/>
        </w:rPr>
      </w:pPr>
    </w:p>
    <w:p>
      <w:pPr>
        <w:pStyle w:val="13"/>
        <w:bidi w:val="0"/>
        <w:ind w:left="0" w:leftChars="0" w:firstLine="0" w:firstLineChars="0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Toc28270"/>
      <w:bookmarkStart w:id="1" w:name="_Toc31165"/>
      <w:bookmarkStart w:id="2" w:name="_Toc3465"/>
      <w:bookmarkStart w:id="3" w:name="_Toc23510"/>
      <w:bookmarkStart w:id="4" w:name="_Toc29202"/>
      <w:bookmarkStart w:id="5" w:name="_Toc28348"/>
      <w:bookmarkStart w:id="6" w:name="_Toc22378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山西省“十四五”农业农村科技发展规划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13"/>
        <w:bidi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13"/>
        <w:bidi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13"/>
        <w:bidi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13"/>
        <w:bidi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13"/>
        <w:bidi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13"/>
        <w:bidi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13"/>
        <w:bidi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13"/>
        <w:bidi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13"/>
        <w:bidi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13"/>
        <w:bidi w:val="0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13"/>
        <w:bidi w:val="0"/>
        <w:ind w:left="0" w:leftChars="0" w:firstLine="0" w:firstLineChars="0"/>
        <w:jc w:val="center"/>
        <w:outlineLvl w:val="9"/>
        <w:rPr>
          <w:rFonts w:hint="eastAsia" w:ascii="方正仿宋_GBK" w:hAnsi="方正仿宋_GBK" w:eastAsia="方正仿宋_GBK" w:cs="方正仿宋_GBK"/>
          <w:sz w:val="36"/>
          <w:szCs w:val="36"/>
        </w:rPr>
      </w:pPr>
      <w:bookmarkStart w:id="7" w:name="_Toc19961"/>
      <w:bookmarkStart w:id="8" w:name="_Toc26983"/>
      <w:bookmarkStart w:id="9" w:name="_Toc26460"/>
      <w:bookmarkStart w:id="10" w:name="_Toc7861"/>
      <w:bookmarkStart w:id="11" w:name="_Toc4459"/>
      <w:bookmarkStart w:id="12" w:name="_Toc18972"/>
      <w:bookmarkStart w:id="13" w:name="_Toc2411"/>
      <w:r>
        <w:rPr>
          <w:rFonts w:hint="eastAsia" w:ascii="方正仿宋_GBK" w:hAnsi="方正仿宋_GBK" w:eastAsia="方正仿宋_GBK" w:cs="方正仿宋_GBK"/>
          <w:sz w:val="36"/>
          <w:szCs w:val="36"/>
        </w:rPr>
        <w:t>山西省农业农村厅</w:t>
      </w:r>
      <w:bookmarkEnd w:id="7"/>
      <w:bookmarkEnd w:id="8"/>
      <w:bookmarkEnd w:id="9"/>
      <w:bookmarkEnd w:id="10"/>
      <w:bookmarkEnd w:id="11"/>
      <w:bookmarkEnd w:id="12"/>
      <w:bookmarkEnd w:id="13"/>
    </w:p>
    <w:p>
      <w:pPr>
        <w:pStyle w:val="13"/>
        <w:bidi w:val="0"/>
        <w:ind w:left="0" w:leftChars="0" w:firstLine="0" w:firstLineChars="0"/>
        <w:jc w:val="center"/>
        <w:outlineLvl w:val="9"/>
        <w:rPr>
          <w:rFonts w:hint="eastAsia" w:ascii="方正仿宋_GBK" w:hAnsi="方正仿宋_GBK" w:eastAsia="方正仿宋_GBK" w:cs="方正仿宋_GBK"/>
          <w:sz w:val="36"/>
          <w:szCs w:val="36"/>
        </w:rPr>
      </w:pPr>
      <w:bookmarkStart w:id="14" w:name="_Toc15306"/>
      <w:bookmarkStart w:id="15" w:name="_Toc9139"/>
      <w:bookmarkStart w:id="16" w:name="_Toc22178"/>
      <w:bookmarkStart w:id="17" w:name="_Toc16639"/>
      <w:bookmarkStart w:id="18" w:name="_Toc26708"/>
      <w:bookmarkStart w:id="19" w:name="_Toc32140"/>
      <w:bookmarkStart w:id="20" w:name="_Toc23496"/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2022年6月</w:t>
      </w:r>
      <w:bookmarkEnd w:id="14"/>
      <w:bookmarkEnd w:id="15"/>
      <w:bookmarkEnd w:id="16"/>
      <w:bookmarkEnd w:id="17"/>
      <w:bookmarkEnd w:id="18"/>
      <w:bookmarkEnd w:id="19"/>
      <w:bookmarkEnd w:id="20"/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eastAsia" w:ascii="方正仿宋_GBK" w:hAnsi="方正仿宋_GBK" w:eastAsia="方正仿宋_GBK" w:cs="方正仿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rPr>
          <w:rFonts w:hint="eastAsia" w:asciiTheme="majorEastAsia" w:hAnsiTheme="majorEastAsia" w:eastAsiaTheme="majorEastAsia" w:cstheme="majorEastAsia"/>
          <w:sz w:val="21"/>
        </w:rPr>
      </w:pPr>
    </w:p>
    <w:p>
      <w:pPr>
        <w:pStyle w:val="18"/>
        <w:rPr>
          <w:rFonts w:hint="eastAsia" w:asciiTheme="majorEastAsia" w:hAnsiTheme="majorEastAsia" w:eastAsiaTheme="majorEastAsia" w:cstheme="majorEastAsia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tLeast"/>
        <w:ind w:left="0" w:leftChars="0" w:right="0" w:rightChars="0" w:firstLine="0" w:firstLineChars="0"/>
        <w:jc w:val="both"/>
        <w:textAlignment w:val="auto"/>
        <w:rPr>
          <w:rFonts w:ascii="宋体" w:hAnsi="宋体" w:eastAsia="宋体" w:cs="Calibri"/>
          <w:smallCaps/>
          <w:kern w:val="2"/>
          <w:sz w:val="21"/>
          <w:szCs w:val="32"/>
          <w:lang w:val="en-US" w:eastAsia="zh-CN" w:bidi="ar-SA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sdt>
      <w:sdtPr>
        <w:rPr>
          <w:rFonts w:ascii="宋体" w:hAnsi="宋体" w:eastAsia="宋体" w:cs="Calibri"/>
          <w:smallCaps/>
          <w:kern w:val="2"/>
          <w:sz w:val="21"/>
          <w:szCs w:val="32"/>
          <w:lang w:val="en-US" w:eastAsia="zh-CN" w:bidi="ar-SA"/>
        </w:rPr>
        <w:id w:val="147468046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bCs/>
          <w:smallCaps/>
          <w:w w:val="90"/>
          <w:kern w:val="2"/>
          <w:sz w:val="32"/>
          <w:szCs w:val="44"/>
          <w:lang w:val="en-US" w:eastAsia="zh-CN" w:bidi="ar-SA"/>
        </w:rPr>
      </w:sdtEndPr>
      <w:sdtContent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360" w:lineRule="atLeast"/>
            <w:ind w:left="0" w:leftChars="0" w:right="0" w:rightChars="0" w:firstLine="0" w:firstLineChars="0"/>
            <w:jc w:val="center"/>
            <w:textAlignment w:val="auto"/>
            <w:rPr>
              <w:b/>
              <w:bCs/>
              <w:sz w:val="28"/>
              <w:szCs w:val="28"/>
            </w:rPr>
          </w:pPr>
          <w:r>
            <w:rPr>
              <w:rFonts w:ascii="宋体" w:hAnsi="宋体" w:eastAsia="宋体"/>
              <w:b/>
              <w:bCs/>
              <w:sz w:val="28"/>
              <w:szCs w:val="28"/>
            </w:rPr>
            <w:t>目</w:t>
          </w:r>
          <w:r>
            <w:rPr>
              <w:rFonts w:hint="eastAsia" w:ascii="宋体" w:hAnsi="宋体" w:eastAsia="宋体"/>
              <w:b/>
              <w:bCs/>
              <w:sz w:val="28"/>
              <w:szCs w:val="28"/>
              <w:lang w:val="en-US" w:eastAsia="zh-CN"/>
            </w:rPr>
            <w:t xml:space="preserve">   </w:t>
          </w:r>
          <w:r>
            <w:rPr>
              <w:rFonts w:ascii="宋体" w:hAnsi="宋体" w:eastAsia="宋体"/>
              <w:b/>
              <w:bCs/>
              <w:sz w:val="28"/>
              <w:szCs w:val="28"/>
            </w:rPr>
            <w:t>录</w:t>
          </w:r>
        </w:p>
        <w:p>
          <w:pPr>
            <w:pStyle w:val="67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 w:val="44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 w:val="44"/>
              <w:szCs w:val="44"/>
            </w:rPr>
            <w:instrText xml:space="preserve">TOC \o "1-3" \h \u </w:instrText>
          </w:r>
          <w:r>
            <w:rPr>
              <w:rFonts w:hint="eastAsia" w:ascii="宋体" w:hAnsi="宋体" w:eastAsia="宋体" w:cs="宋体"/>
              <w:bCs/>
              <w:w w:val="90"/>
              <w:sz w:val="44"/>
              <w:szCs w:val="44"/>
            </w:rPr>
            <w:fldChar w:fldCharType="separate"/>
          </w:r>
        </w:p>
        <w:p>
          <w:pPr>
            <w:pStyle w:val="67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_Toc12207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lang w:val="en-US" w:eastAsia="zh-CN" w:bidi="ar-SA"/>
            </w:rPr>
            <w:t>山西省“十四五”农业农村科技发展规划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_Toc12207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2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7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_Toc6760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 w:val="0"/>
              <w:szCs w:val="32"/>
            </w:rPr>
            <w:t>一、规划背景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_Toc6760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2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_Toc12364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/>
            </w:rPr>
            <w:t>（一）发展基础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_Toc12364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2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_Toc25381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/>
            </w:rPr>
            <w:t>（二）机遇挑战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_Toc25381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4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7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_Toc18681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 w:val="0"/>
              <w:szCs w:val="32"/>
            </w:rPr>
            <w:t>二、总体要求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_Toc18681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5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_Toc18581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/>
            </w:rPr>
            <w:t>（一）指导思想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_Toc18581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5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_Toc29159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/>
            </w:rPr>
            <w:t>（二）基本原则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_Toc29159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5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_Toc2859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/>
            </w:rPr>
            <w:t>（三）发展目标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_Toc2859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6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7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_Toc27034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 w:val="0"/>
              <w:szCs w:val="32"/>
              <w:lang w:val="en-US" w:eastAsia="zh-CN"/>
            </w:rPr>
            <w:t>三、</w:t>
          </w:r>
          <w:r>
            <w:rPr>
              <w:rFonts w:hint="eastAsia" w:ascii="宋体" w:hAnsi="宋体" w:eastAsia="宋体" w:cs="宋体"/>
              <w:bCs w:val="0"/>
              <w:szCs w:val="32"/>
            </w:rPr>
            <w:t>主要任务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_Toc27034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8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_Toc24324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Cs w:val="32"/>
              <w:lang w:val="en-US" w:eastAsia="zh-CN"/>
            </w:rPr>
            <w:t>（一）提升农业农村科技创新能力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_Toc24324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8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_Toc2190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mallCaps/>
              <w:kern w:val="2"/>
              <w:szCs w:val="32"/>
              <w:lang w:val="en-US" w:eastAsia="zh-CN" w:bidi="ar-SA"/>
            </w:rPr>
            <w:t>（二）优化农业农村科技创新体系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_Toc2190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9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_Toc12426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mallCaps/>
              <w:kern w:val="2"/>
              <w:szCs w:val="32"/>
              <w:lang w:val="en-US" w:eastAsia="zh-CN" w:bidi="ar-SA"/>
            </w:rPr>
            <w:t>（三）培育农业农村科技人才队伍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_Toc12426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11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_Toc17661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lang w:eastAsia="zh-CN"/>
            </w:rPr>
            <w:t>（</w:t>
          </w:r>
          <w:r>
            <w:rPr>
              <w:rFonts w:hint="eastAsia" w:ascii="宋体" w:hAnsi="宋体" w:eastAsia="宋体" w:cs="宋体"/>
              <w:bCs/>
              <w:lang w:val="en-US" w:eastAsia="zh-CN"/>
            </w:rPr>
            <w:t>四</w:t>
          </w:r>
          <w:r>
            <w:rPr>
              <w:rFonts w:hint="eastAsia" w:ascii="宋体" w:hAnsi="宋体" w:eastAsia="宋体" w:cs="宋体"/>
              <w:bCs/>
              <w:lang w:eastAsia="zh-CN"/>
            </w:rPr>
            <w:t>）</w:t>
          </w:r>
          <w:r>
            <w:rPr>
              <w:rFonts w:hint="eastAsia" w:ascii="宋体" w:hAnsi="宋体" w:eastAsia="宋体" w:cs="宋体"/>
              <w:bCs/>
            </w:rPr>
            <w:t>创新农业</w:t>
          </w:r>
          <w:r>
            <w:rPr>
              <w:rFonts w:hint="eastAsia" w:ascii="宋体" w:hAnsi="宋体" w:eastAsia="宋体" w:cs="宋体"/>
              <w:bCs/>
              <w:lang w:val="en-US" w:eastAsia="zh-CN"/>
            </w:rPr>
            <w:t>农村</w:t>
          </w:r>
          <w:r>
            <w:rPr>
              <w:rFonts w:hint="eastAsia" w:ascii="宋体" w:hAnsi="宋体" w:eastAsia="宋体" w:cs="宋体"/>
              <w:bCs/>
            </w:rPr>
            <w:t>科技</w:t>
          </w:r>
          <w:r>
            <w:rPr>
              <w:rFonts w:hint="eastAsia" w:ascii="宋体" w:hAnsi="宋体" w:eastAsia="宋体" w:cs="宋体"/>
              <w:bCs/>
              <w:lang w:val="en-US" w:eastAsia="zh-CN"/>
            </w:rPr>
            <w:t>体制</w:t>
          </w:r>
          <w:r>
            <w:rPr>
              <w:rFonts w:hint="eastAsia" w:ascii="宋体" w:hAnsi="宋体" w:eastAsia="宋体" w:cs="宋体"/>
              <w:bCs/>
            </w:rPr>
            <w:t>机制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_Toc17661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12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7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_Toc13281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 w:val="0"/>
              <w:szCs w:val="32"/>
            </w:rPr>
            <w:t>四、重大行动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_Toc13281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14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_Toc11816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Cs w:val="32"/>
              <w:lang w:eastAsia="zh-CN"/>
            </w:rPr>
            <w:t>（一）</w:t>
          </w:r>
          <w:r>
            <w:rPr>
              <w:rFonts w:hint="eastAsia" w:ascii="宋体" w:hAnsi="宋体" w:eastAsia="宋体" w:cs="宋体"/>
              <w:bCs/>
              <w:szCs w:val="32"/>
            </w:rPr>
            <w:t>特色种业强省科技支撑行动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_Toc11816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14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_Toc18283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Cs w:val="32"/>
              <w:lang w:eastAsia="zh-CN"/>
            </w:rPr>
            <w:t>（二）</w:t>
          </w:r>
          <w:r>
            <w:rPr>
              <w:rFonts w:hint="eastAsia" w:ascii="宋体" w:hAnsi="宋体" w:eastAsia="宋体" w:cs="宋体"/>
              <w:bCs/>
              <w:szCs w:val="32"/>
            </w:rPr>
            <w:t>耕地质量保护与提升科技支撑行动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_Toc18283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16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_Toc3209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lang w:eastAsia="zh-CN"/>
            </w:rPr>
            <w:t>（</w:t>
          </w:r>
          <w:r>
            <w:rPr>
              <w:rFonts w:hint="eastAsia" w:ascii="宋体" w:hAnsi="宋体" w:eastAsia="宋体" w:cs="宋体"/>
              <w:bCs/>
              <w:lang w:val="en-US" w:eastAsia="zh-CN"/>
            </w:rPr>
            <w:t>三</w:t>
          </w:r>
          <w:r>
            <w:rPr>
              <w:rFonts w:hint="eastAsia" w:ascii="宋体" w:hAnsi="宋体" w:eastAsia="宋体" w:cs="宋体"/>
              <w:bCs/>
              <w:lang w:eastAsia="zh-CN"/>
            </w:rPr>
            <w:t>）高效种养与绿色生产</w:t>
          </w:r>
          <w:r>
            <w:rPr>
              <w:rFonts w:hint="eastAsia" w:ascii="宋体" w:hAnsi="宋体" w:eastAsia="宋体" w:cs="宋体"/>
              <w:bCs/>
              <w:lang w:val="en-US" w:eastAsia="zh-CN"/>
            </w:rPr>
            <w:t>科技支撑行动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_Toc3209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17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_Toc20205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lang w:eastAsia="zh-CN"/>
            </w:rPr>
            <w:t>（</w:t>
          </w:r>
          <w:r>
            <w:rPr>
              <w:rFonts w:hint="eastAsia" w:ascii="宋体" w:hAnsi="宋体" w:eastAsia="宋体" w:cs="宋体"/>
              <w:bCs/>
              <w:lang w:val="en-US" w:eastAsia="zh-CN"/>
            </w:rPr>
            <w:t>四</w:t>
          </w:r>
          <w:r>
            <w:rPr>
              <w:rFonts w:hint="eastAsia" w:ascii="宋体" w:hAnsi="宋体" w:eastAsia="宋体" w:cs="宋体"/>
              <w:bCs/>
              <w:lang w:eastAsia="zh-CN"/>
            </w:rPr>
            <w:t>）</w:t>
          </w:r>
          <w:r>
            <w:rPr>
              <w:rFonts w:hint="eastAsia" w:ascii="宋体" w:hAnsi="宋体" w:eastAsia="宋体" w:cs="宋体"/>
              <w:bCs/>
            </w:rPr>
            <w:t>智能农机装备科技支撑行动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_Toc20205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19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_Toc17722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lang w:eastAsia="zh-CN"/>
            </w:rPr>
            <w:t>（五）</w:t>
          </w:r>
          <w:r>
            <w:rPr>
              <w:rFonts w:hint="eastAsia" w:ascii="宋体" w:hAnsi="宋体" w:eastAsia="宋体" w:cs="宋体"/>
              <w:bCs/>
            </w:rPr>
            <w:t>农产品流通与加工增值科技支撑行动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_Toc17722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20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_Toc4568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Cs w:val="32"/>
              <w:lang w:eastAsia="zh-CN"/>
            </w:rPr>
            <w:t>（六）</w:t>
          </w:r>
          <w:r>
            <w:rPr>
              <w:rFonts w:hint="eastAsia" w:ascii="宋体" w:hAnsi="宋体" w:eastAsia="宋体" w:cs="宋体"/>
              <w:bCs/>
              <w:szCs w:val="32"/>
            </w:rPr>
            <w:t>重大风险与灾害防控科技支撑行动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_Toc4568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20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_Toc9632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lang w:eastAsia="zh-CN"/>
            </w:rPr>
            <w:t>（七）</w:t>
          </w:r>
          <w:r>
            <w:rPr>
              <w:rFonts w:hint="eastAsia" w:ascii="宋体" w:hAnsi="宋体" w:eastAsia="宋体" w:cs="宋体"/>
              <w:bCs/>
            </w:rPr>
            <w:t>乡村综合治理科技支撑行动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_Toc9632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21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7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_Toc9423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smallCaps w:val="0"/>
              <w:kern w:val="44"/>
              <w:lang w:val="en-US" w:eastAsia="zh-CN"/>
            </w:rPr>
            <w:t>五</w:t>
          </w:r>
          <w:r>
            <w:rPr>
              <w:rFonts w:hint="eastAsia" w:ascii="宋体" w:hAnsi="宋体" w:eastAsia="宋体" w:cs="宋体"/>
              <w:smallCaps w:val="0"/>
              <w:kern w:val="44"/>
            </w:rPr>
            <w:t>、保障措施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_Toc9423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22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_Toc16733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</w:rPr>
            <w:t>（一）强化组织领导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_Toc16733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22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_Toc80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/>
            </w:rPr>
            <w:t>（二）强化</w:t>
          </w:r>
          <w:r>
            <w:rPr>
              <w:rFonts w:hint="eastAsia" w:ascii="宋体" w:hAnsi="宋体" w:eastAsia="宋体" w:cs="宋体"/>
              <w:bCs/>
              <w:lang w:val="en-US" w:eastAsia="zh-CN"/>
            </w:rPr>
            <w:t>统筹协调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_Toc80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22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_Toc7378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kern w:val="2"/>
              <w:szCs w:val="32"/>
            </w:rPr>
            <w:t>（三）发布科技</w:t>
          </w:r>
          <w:r>
            <w:rPr>
              <w:rFonts w:hint="eastAsia" w:ascii="宋体" w:hAnsi="宋体" w:eastAsia="宋体" w:cs="宋体"/>
              <w:bCs/>
              <w:kern w:val="2"/>
              <w:szCs w:val="32"/>
              <w:lang w:val="en-US" w:eastAsia="zh-CN"/>
            </w:rPr>
            <w:t>需求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_Toc7378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22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pStyle w:val="6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textAlignment w:val="auto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begin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instrText xml:space="preserve"> HYPERLINK \l _Toc13738 </w:instrText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kern w:val="2"/>
              <w:szCs w:val="32"/>
            </w:rPr>
            <w:t>（四）强化资金支持</w:t>
          </w:r>
          <w:r>
            <w:rPr>
              <w:rFonts w:hint="eastAsia" w:ascii="宋体" w:hAnsi="宋体" w:eastAsia="宋体" w:cs="宋体"/>
            </w:rPr>
            <w:tab/>
          </w: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PAGEREF _Toc13738 \h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</w:rPr>
            <w:t>22</w:t>
          </w:r>
          <w:r>
            <w:rPr>
              <w:rFonts w:hint="eastAsia" w:ascii="宋体" w:hAnsi="宋体" w:eastAsia="宋体" w:cs="宋体"/>
            </w:rPr>
            <w:fldChar w:fldCharType="end"/>
          </w: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tLeast"/>
            <w:ind w:firstLine="576" w:firstLineChars="200"/>
            <w:textAlignment w:val="auto"/>
            <w:outlineLvl w:val="9"/>
            <w:rPr>
              <w:rFonts w:hint="eastAsia" w:ascii="宋体" w:hAnsi="宋体" w:eastAsia="宋体" w:cs="宋体"/>
              <w:bCs/>
              <w:w w:val="90"/>
              <w:sz w:val="44"/>
              <w:szCs w:val="44"/>
            </w:rPr>
          </w:pPr>
          <w:r>
            <w:rPr>
              <w:rFonts w:hint="eastAsia" w:ascii="宋体" w:hAnsi="宋体" w:eastAsia="宋体" w:cs="宋体"/>
              <w:bCs/>
              <w:w w:val="90"/>
              <w:szCs w:val="44"/>
            </w:rPr>
            <w:fldChar w:fldCharType="end"/>
          </w:r>
        </w:p>
      </w:sdtContent>
    </w:sdt>
    <w:p>
      <w:pPr>
        <w:pageBreakBefore w:val="0"/>
        <w:kinsoku/>
        <w:overflowPunct/>
        <w:topLinePunct w:val="0"/>
        <w:bidi w:val="0"/>
        <w:spacing w:line="60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</w:pPr>
      <w:bookmarkStart w:id="21" w:name="_Toc12207"/>
      <w:bookmarkStart w:id="22" w:name="_Toc20567"/>
    </w:p>
    <w:p>
      <w:pPr>
        <w:pStyle w:val="18"/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</w:pPr>
    </w:p>
    <w:p>
      <w:pPr>
        <w:rPr>
          <w:rFonts w:hint="eastAsia"/>
        </w:rPr>
      </w:pPr>
    </w:p>
    <w:p>
      <w:pPr>
        <w:pageBreakBefore w:val="0"/>
        <w:kinsoku/>
        <w:overflowPunct/>
        <w:topLinePunct w:val="0"/>
        <w:bidi w:val="0"/>
        <w:spacing w:line="600" w:lineRule="exact"/>
        <w:ind w:firstLine="792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</w:pPr>
    </w:p>
    <w:p>
      <w:pPr>
        <w:pageBreakBefore w:val="0"/>
        <w:kinsoku/>
        <w:overflowPunct/>
        <w:topLinePunct w:val="0"/>
        <w:bidi w:val="0"/>
        <w:spacing w:line="600" w:lineRule="exact"/>
        <w:ind w:firstLine="792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  <w:t>山西省“十四五”农业农村科技发展规划</w:t>
      </w:r>
      <w:bookmarkEnd w:id="21"/>
      <w:bookmarkEnd w:id="22"/>
    </w:p>
    <w:p>
      <w:pPr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方正仿宋_GBK" w:hAnsi="方正仿宋_GBK" w:eastAsia="方正仿宋_GBK" w:cs="方正仿宋_GBK"/>
        </w:rPr>
        <w:t>“十四五”时期，是开启全面建设社会主义现代化国家新征程的第一个五年，是我省农业特色转型、实现优质高效发展的关键期。农业现代化，关键是农业科技现代化。依据《“十四五”全国农业农村科技发展规划》《山西省“十四五”农业现代化三大省级战略、十大产业集群培育及巩固脱贫攻坚成果规划》《“十四五”全国农业农村科技发展规划》《山西省“十四五”农业现代化三大省级战略、十大产业集群培育及巩固脱贫攻坚成果规划》等，编制本规划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firstLine="640" w:firstLineChars="200"/>
        <w:textAlignment w:val="auto"/>
        <w:outlineLvl w:val="9"/>
        <w:rPr>
          <w:rFonts w:ascii="黑体" w:hAnsi="黑体" w:eastAsia="黑体" w:cs="黑体"/>
          <w:b w:val="0"/>
          <w:bCs w:val="0"/>
          <w:kern w:val="2"/>
          <w:sz w:val="32"/>
          <w:szCs w:val="32"/>
        </w:rPr>
      </w:pPr>
      <w:bookmarkStart w:id="23" w:name="_Toc162266412_WPSOffice_Level1"/>
      <w:bookmarkStart w:id="24" w:name="_Toc27318"/>
      <w:bookmarkStart w:id="25" w:name="_Toc32606"/>
      <w:bookmarkStart w:id="26" w:name="_Toc6760"/>
      <w:bookmarkStart w:id="27" w:name="_Toc11940"/>
      <w:bookmarkStart w:id="28" w:name="_Toc1085199885_WPSOffice_Level1"/>
      <w:bookmarkStart w:id="29" w:name="_Toc1695680872_WPSOffice_Level1"/>
      <w:bookmarkStart w:id="30" w:name="_Toc24781"/>
      <w:bookmarkStart w:id="31" w:name="_Toc113981167_WPSOffice_Level1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一、规划背景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Start w:id="32" w:name="_Toc12937"/>
      <w:bookmarkStart w:id="33" w:name="_Toc2835"/>
      <w:bookmarkStart w:id="34" w:name="_Toc2327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lang w:val="en-US"/>
        </w:rPr>
      </w:pPr>
      <w:r>
        <w:rPr>
          <w:rFonts w:hint="eastAsia" w:ascii="方正仿宋_GBK" w:hAnsi="方正仿宋_GBK" w:eastAsia="方正仿宋_GBK" w:cs="方正仿宋_GBK"/>
        </w:rPr>
        <w:t>“十三五”时期，省委省政府把创新作为引领三农发展的第一动力,</w:t>
      </w:r>
      <w:r>
        <w:rPr>
          <w:rFonts w:hint="eastAsia" w:ascii="方正仿宋_GBK" w:hAnsi="方正仿宋_GBK" w:eastAsia="方正仿宋_GBK" w:cs="方正仿宋_GBK"/>
          <w:lang w:val="en-US" w:eastAsia="zh-CN"/>
        </w:rPr>
        <w:t>农业科技创新能力、支撑能力大幅提升，</w:t>
      </w:r>
      <w:r>
        <w:rPr>
          <w:rFonts w:hint="eastAsia" w:ascii="方正仿宋_GBK" w:hAnsi="方正仿宋_GBK" w:eastAsia="方正仿宋_GBK" w:cs="方正仿宋_GBK"/>
        </w:rPr>
        <w:t>科技</w:t>
      </w:r>
      <w:r>
        <w:rPr>
          <w:rFonts w:hint="eastAsia" w:ascii="方正仿宋_GBK" w:hAnsi="方正仿宋_GBK" w:eastAsia="方正仿宋_GBK" w:cs="方正仿宋_GBK"/>
          <w:lang w:val="en-US" w:eastAsia="zh-CN"/>
        </w:rPr>
        <w:t>进步为农业农村经济社会发展作出重要贡献。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</w:rPr>
      </w:pPr>
      <w:bookmarkStart w:id="35" w:name="_Toc12586"/>
      <w:bookmarkStart w:id="36" w:name="_Toc1569298347_WPSOffice_Level2"/>
      <w:bookmarkStart w:id="37" w:name="_Toc1516204911_WPSOffice_Level2"/>
      <w:bookmarkStart w:id="38" w:name="_Toc1610662085_WPSOffice_Level2"/>
      <w:bookmarkStart w:id="39" w:name="_Toc12364"/>
      <w:bookmarkStart w:id="40" w:name="_Toc28235"/>
      <w:bookmarkStart w:id="41" w:name="_Toc7849"/>
      <w:bookmarkStart w:id="42" w:name="_Toc16931"/>
      <w:bookmarkStart w:id="43" w:name="_Toc88344590_WPSOffice_Level2"/>
      <w:r>
        <w:rPr>
          <w:rFonts w:hint="eastAsia" w:ascii="方正楷体_GBK" w:hAnsi="方正楷体_GBK" w:eastAsia="方正楷体_GBK" w:cs="方正楷体_GBK"/>
          <w:b/>
          <w:bCs/>
        </w:rPr>
        <w:t>（一）发展基础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/>
          <w:bCs/>
        </w:rPr>
        <w:t>1.农业科技支撑能力显著提升。</w:t>
      </w:r>
      <w:r>
        <w:rPr>
          <w:rFonts w:hint="eastAsia" w:ascii="方正仿宋_GBK" w:hAnsi="方正仿宋_GBK" w:eastAsia="方正仿宋_GBK" w:cs="方正仿宋_GBK"/>
        </w:rPr>
        <w:t>“十三五”</w:t>
      </w:r>
      <w:r>
        <w:rPr>
          <w:rFonts w:hint="eastAsia" w:ascii="方正仿宋_GBK" w:hAnsi="方正仿宋_GBK" w:eastAsia="方正仿宋_GBK" w:cs="方正仿宋_GBK"/>
          <w:lang w:val="en-US" w:eastAsia="zh-CN"/>
        </w:rPr>
        <w:t>时期是</w:t>
      </w:r>
      <w:r>
        <w:rPr>
          <w:rFonts w:hint="eastAsia" w:ascii="方正仿宋_GBK" w:hAnsi="方正仿宋_GBK" w:eastAsia="方正仿宋_GBK" w:cs="方正仿宋_GBK"/>
        </w:rPr>
        <w:t>农业创新</w:t>
      </w:r>
      <w:r>
        <w:rPr>
          <w:rFonts w:hint="eastAsia" w:ascii="方正仿宋_GBK" w:hAnsi="方正仿宋_GBK" w:eastAsia="方正仿宋_GBK" w:cs="方正仿宋_GBK"/>
          <w:lang w:val="en-US" w:eastAsia="zh-CN"/>
        </w:rPr>
        <w:t>驱动、绿色发展实现关键转折的时期</w:t>
      </w:r>
      <w:r>
        <w:rPr>
          <w:rFonts w:hint="eastAsia" w:ascii="方正仿宋_GBK" w:hAnsi="方正仿宋_GBK" w:eastAsia="方正仿宋_GBK" w:cs="方正仿宋_GBK"/>
        </w:rPr>
        <w:t>，</w:t>
      </w:r>
      <w:r>
        <w:rPr>
          <w:rFonts w:hint="eastAsia" w:ascii="方正仿宋_GBK" w:hAnsi="方正仿宋_GBK" w:eastAsia="方正仿宋_GBK" w:cs="方正仿宋_GBK"/>
          <w:lang w:val="en-US" w:eastAsia="zh-CN"/>
        </w:rPr>
        <w:t>玉米膜侧播种艺机一体化</w:t>
      </w:r>
      <w:r>
        <w:rPr>
          <w:rFonts w:hint="eastAsia" w:ascii="方正仿宋_GBK" w:hAnsi="方正仿宋_GBK" w:eastAsia="方正仿宋_GBK" w:cs="方正仿宋_GBK"/>
        </w:rPr>
        <w:t>、</w:t>
      </w:r>
      <w:r>
        <w:rPr>
          <w:rFonts w:hint="eastAsia" w:ascii="方正仿宋_GBK" w:hAnsi="方正仿宋_GBK" w:eastAsia="方正仿宋_GBK" w:cs="方正仿宋_GBK"/>
          <w:lang w:val="en-US" w:eastAsia="zh-CN"/>
        </w:rPr>
        <w:t>旱地</w:t>
      </w:r>
      <w:r>
        <w:rPr>
          <w:rFonts w:hint="eastAsia" w:ascii="方正仿宋_GBK" w:hAnsi="方正仿宋_GBK" w:eastAsia="方正仿宋_GBK" w:cs="方正仿宋_GBK"/>
        </w:rPr>
        <w:t>小麦</w:t>
      </w:r>
      <w:r>
        <w:rPr>
          <w:rFonts w:hint="eastAsia" w:ascii="方正仿宋_GBK" w:hAnsi="方正仿宋_GBK" w:eastAsia="方正仿宋_GBK" w:cs="方正仿宋_GBK"/>
          <w:lang w:val="en-US" w:eastAsia="zh-CN"/>
        </w:rPr>
        <w:t>一优四改</w:t>
      </w:r>
      <w:r>
        <w:rPr>
          <w:rFonts w:hint="eastAsia" w:ascii="方正仿宋_GBK" w:hAnsi="方正仿宋_GBK" w:eastAsia="方正仿宋_GBK" w:cs="方正仿宋_GBK"/>
        </w:rPr>
        <w:t>探墒沟播等一批绿色高效旱作技术广泛推广应用，农业科技进步贡献率突破60%，农作物良种覆盖率达到96%，主要农作物耕种收综合机械化率达到72.6%，支撑保障粮食稳定在270亿斤以上。全省认证“三品”农产品5289个，登记保护农产品地理标志165个，科技支撑能力</w:t>
      </w:r>
      <w:r>
        <w:rPr>
          <w:rFonts w:hint="eastAsia" w:ascii="方正仿宋_GBK" w:hAnsi="方正仿宋_GBK" w:eastAsia="方正仿宋_GBK" w:cs="方正仿宋_GBK"/>
          <w:lang w:val="en-US" w:eastAsia="zh-CN"/>
        </w:rPr>
        <w:t>显著</w:t>
      </w:r>
      <w:r>
        <w:rPr>
          <w:rFonts w:hint="eastAsia" w:ascii="方正仿宋_GBK" w:hAnsi="方正仿宋_GBK" w:eastAsia="方正仿宋_GBK" w:cs="方正仿宋_GBK"/>
        </w:rPr>
        <w:t>增强。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</w:rPr>
        <w:t>2.农业科研创新</w:t>
      </w:r>
      <w:r>
        <w:rPr>
          <w:rFonts w:hint="eastAsia" w:ascii="方正仿宋_GBK" w:hAnsi="方正仿宋_GBK" w:eastAsia="方正仿宋_GBK" w:cs="方正仿宋_GBK"/>
          <w:b/>
          <w:bCs/>
          <w:lang w:val="en-US" w:eastAsia="zh-CN"/>
        </w:rPr>
        <w:t>基础不断夯实</w:t>
      </w:r>
      <w:r>
        <w:rPr>
          <w:rFonts w:hint="eastAsia" w:ascii="方正仿宋_GBK" w:hAnsi="方正仿宋_GBK" w:eastAsia="方正仿宋_GBK" w:cs="方正仿宋_GBK"/>
          <w:b/>
          <w:bCs/>
        </w:rPr>
        <w:t>。</w:t>
      </w:r>
      <w:r>
        <w:rPr>
          <w:rFonts w:hint="eastAsia" w:ascii="方正仿宋_GBK" w:hAnsi="方正仿宋_GBK" w:eastAsia="方正仿宋_GBK" w:cs="方正仿宋_GBK"/>
          <w:b w:val="0"/>
          <w:bCs w:val="0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b w:val="0"/>
          <w:bCs w:val="0"/>
          <w:lang w:val="en-US" w:eastAsia="zh-CN"/>
        </w:rPr>
        <w:t>十三五</w:t>
      </w:r>
      <w:r>
        <w:rPr>
          <w:rFonts w:hint="eastAsia" w:ascii="方正仿宋_GBK" w:hAnsi="方正仿宋_GBK" w:eastAsia="方正仿宋_GBK" w:cs="方正仿宋_GBK"/>
          <w:b w:val="0"/>
          <w:bCs w:val="0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lang w:val="en-US" w:eastAsia="zh-CN"/>
        </w:rPr>
        <w:t>期间，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获得</w:t>
      </w:r>
      <w:r>
        <w:rPr>
          <w:rFonts w:hint="eastAsia" w:ascii="方正仿宋_GBK" w:hAnsi="方正仿宋_GBK" w:eastAsia="方正仿宋_GBK" w:cs="方正仿宋_GBK"/>
          <w:lang w:val="en-US" w:eastAsia="zh-CN"/>
        </w:rPr>
        <w:t>各类科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农业</w:t>
      </w:r>
      <w:r>
        <w:rPr>
          <w:rFonts w:hint="eastAsia" w:ascii="方正仿宋_GBK" w:hAnsi="方正仿宋_GBK" w:eastAsia="方正仿宋_GBK" w:cs="方正仿宋_GBK"/>
          <w:lang w:val="en-US" w:eastAsia="zh-CN"/>
        </w:rPr>
        <w:t>研成果3596项，其中，国家审（鉴）定品种39个，国家标准2项，行业标准3项，国际专利2项，植物新品种权53件。获得各级各类成果奖励132项，其中，国家科学技术进步奖二等奖2项，省部级一等奖8项、二等奖39项</w:t>
      </w:r>
      <w:r>
        <w:rPr>
          <w:rFonts w:hint="eastAsia" w:ascii="方正仿宋_GBK" w:hAnsi="方正仿宋_GBK" w:eastAsia="方正仿宋_GBK" w:cs="方正仿宋_GBK"/>
        </w:rPr>
        <w:t>。全省</w:t>
      </w:r>
      <w:r>
        <w:rPr>
          <w:rFonts w:hint="eastAsia" w:ascii="方正仿宋_GBK" w:hAnsi="方正仿宋_GBK" w:eastAsia="方正仿宋_GBK" w:cs="方正仿宋_GBK"/>
          <w:lang w:val="en-US" w:eastAsia="zh-CN"/>
        </w:rPr>
        <w:t>建设</w:t>
      </w:r>
      <w:r>
        <w:rPr>
          <w:rFonts w:hint="eastAsia" w:ascii="方正仿宋_GBK" w:hAnsi="方正仿宋_GBK" w:eastAsia="方正仿宋_GBK" w:cs="方正仿宋_GBK"/>
        </w:rPr>
        <w:t>涉农领域科技创新和推广应用平台137个，其中国家级7个、省部级130个。省部级创新团队24个，国家现代农业产业技术体系岗位科学家17人</w:t>
      </w:r>
      <w:r>
        <w:rPr>
          <w:rFonts w:hint="eastAsia" w:ascii="方正仿宋_GBK" w:hAnsi="方正仿宋_GBK" w:eastAsia="方正仿宋_GBK" w:cs="方正仿宋_GBK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</w:rPr>
        <w:t>综合试验站30</w:t>
      </w:r>
      <w:r>
        <w:rPr>
          <w:rFonts w:hint="eastAsia" w:ascii="方正仿宋_GBK" w:hAnsi="方正仿宋_GBK" w:eastAsia="方正仿宋_GBK" w:cs="方正仿宋_GBK"/>
          <w:lang w:val="en-US" w:eastAsia="zh-CN"/>
        </w:rPr>
        <w:t>个。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/>
          <w:bCs/>
        </w:rPr>
        <w:t>3.基层农技推广体系</w:t>
      </w:r>
      <w:r>
        <w:rPr>
          <w:rFonts w:hint="eastAsia" w:ascii="方正仿宋_GBK" w:hAnsi="方正仿宋_GBK" w:eastAsia="方正仿宋_GBK" w:cs="方正仿宋_GBK"/>
          <w:b/>
          <w:bCs/>
          <w:lang w:val="en-US" w:eastAsia="zh-CN"/>
        </w:rPr>
        <w:t>建设持续加强</w:t>
      </w:r>
      <w:r>
        <w:rPr>
          <w:rFonts w:hint="eastAsia" w:ascii="方正仿宋_GBK" w:hAnsi="方正仿宋_GBK" w:eastAsia="方正仿宋_GBK" w:cs="方正仿宋_GBK"/>
          <w:b/>
          <w:bCs/>
        </w:rPr>
        <w:t>。</w:t>
      </w:r>
      <w:r>
        <w:rPr>
          <w:rFonts w:hint="eastAsia" w:ascii="方正仿宋_GBK" w:hAnsi="方正仿宋_GBK" w:eastAsia="方正仿宋_GBK" w:cs="方正仿宋_GBK"/>
        </w:rPr>
        <w:t>依托基层农技推广体系改革与建设补助项目，建设农业科技示范基地916个，培育农业科技示范主体8.3万个，培训基层农技人员2.1万人次，基层农技人员使用信息化手段开展农技推广服务比例超过90%。农技推广队伍在农业技术普及推广，促进农业高产稳产、农村科技进步、农民素质提升等方面发挥了非常重要的作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/>
          <w:bCs/>
        </w:rPr>
        <w:t>4.高质素农民</w:t>
      </w:r>
      <w:r>
        <w:rPr>
          <w:rFonts w:hint="eastAsia" w:ascii="方正仿宋_GBK" w:hAnsi="方正仿宋_GBK" w:eastAsia="方正仿宋_GBK" w:cs="方正仿宋_GBK"/>
          <w:b/>
          <w:bCs/>
          <w:lang w:val="en-US" w:eastAsia="zh-CN"/>
        </w:rPr>
        <w:t>队伍发展壮大</w:t>
      </w:r>
      <w:r>
        <w:rPr>
          <w:rFonts w:hint="eastAsia" w:ascii="方正仿宋_GBK" w:hAnsi="方正仿宋_GBK" w:eastAsia="方正仿宋_GBK" w:cs="方正仿宋_GBK"/>
        </w:rPr>
        <w:t>。全省培训高素质农民31.7万人次，考核评价颁证8.5万人。其中，培训农业经理人、青年农场主4350人，轮训新型经营主体10.48万人次，培训种养加等技能农民20.78万人次，为全省锻造了一支技能型农业劳动</w:t>
      </w:r>
      <w:r>
        <w:rPr>
          <w:rFonts w:hint="eastAsia" w:ascii="方正仿宋_GBK" w:hAnsi="方正仿宋_GBK" w:eastAsia="方正仿宋_GBK" w:cs="方正仿宋_GBK"/>
          <w:lang w:val="en-US" w:eastAsia="zh-CN"/>
        </w:rPr>
        <w:t>者</w:t>
      </w:r>
      <w:r>
        <w:rPr>
          <w:rFonts w:hint="eastAsia" w:ascii="方正仿宋_GBK" w:hAnsi="方正仿宋_GBK" w:eastAsia="方正仿宋_GBK" w:cs="方正仿宋_GBK"/>
        </w:rPr>
        <w:t>大军。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/>
          <w:bCs/>
        </w:rPr>
        <w:t>5.农业农村绿色发展加快推进。</w:t>
      </w:r>
      <w:r>
        <w:rPr>
          <w:rFonts w:hint="eastAsia" w:ascii="方正仿宋_GBK" w:hAnsi="方正仿宋_GBK" w:eastAsia="方正仿宋_GBK" w:cs="方正仿宋_GBK"/>
          <w:b w:val="0"/>
          <w:bCs w:val="0"/>
        </w:rPr>
        <w:t>农业资源保护利用得到加强，</w:t>
      </w:r>
      <w:r>
        <w:rPr>
          <w:rFonts w:hint="eastAsia" w:ascii="方正仿宋_GBK" w:hAnsi="方正仿宋_GBK" w:eastAsia="方正仿宋_GBK" w:cs="方正仿宋_GBK"/>
        </w:rPr>
        <w:t>全省畜禽粪污综合利用率达到75%，秸秆综合利用率达到90%，农膜回收率达80%以上，化肥农药施用量连续5年负增长。农村人居环境科技供给</w:t>
      </w:r>
      <w:r>
        <w:rPr>
          <w:rFonts w:hint="eastAsia" w:ascii="方正仿宋_GBK" w:hAnsi="方正仿宋_GBK" w:eastAsia="方正仿宋_GBK" w:cs="方正仿宋_GBK"/>
          <w:lang w:eastAsia="zh-CN"/>
        </w:rPr>
        <w:t>能力显著增强</w:t>
      </w:r>
      <w:r>
        <w:rPr>
          <w:rFonts w:hint="eastAsia" w:ascii="方正仿宋_GBK" w:hAnsi="方正仿宋_GBK" w:eastAsia="方正仿宋_GBK" w:cs="方正仿宋_GBK"/>
        </w:rPr>
        <w:t>，全省乡村基础设施和公共服务补短板步伐明显加快。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</w:rPr>
      </w:pPr>
      <w:bookmarkStart w:id="44" w:name="_Toc11281"/>
      <w:bookmarkStart w:id="45" w:name="_Toc8144"/>
      <w:bookmarkStart w:id="46" w:name="_Toc5089"/>
      <w:bookmarkStart w:id="47" w:name="_Toc1726294576_WPSOffice_Level2"/>
      <w:bookmarkStart w:id="48" w:name="_Toc584913399_WPSOffice_Level2"/>
      <w:bookmarkStart w:id="49" w:name="_Toc611166437_WPSOffice_Level2"/>
      <w:bookmarkStart w:id="50" w:name="_Toc1835430303_WPSOffice_Level2"/>
      <w:bookmarkStart w:id="51" w:name="_Toc25381"/>
      <w:bookmarkStart w:id="52" w:name="_Toc23603"/>
      <w:r>
        <w:rPr>
          <w:rFonts w:hint="eastAsia" w:ascii="方正楷体_GBK" w:hAnsi="方正楷体_GBK" w:eastAsia="方正楷体_GBK" w:cs="方正楷体_GBK"/>
          <w:b/>
          <w:bCs/>
        </w:rPr>
        <w:t>（二）机遇挑战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/>
          <w:bCs/>
        </w:rPr>
        <w:t>从国际</w:t>
      </w:r>
      <w:r>
        <w:rPr>
          <w:rFonts w:hint="eastAsia" w:ascii="方正仿宋_GBK" w:hAnsi="方正仿宋_GBK" w:eastAsia="方正仿宋_GBK" w:cs="方正仿宋_GBK"/>
          <w:b/>
          <w:bCs/>
          <w:lang w:val="en-US" w:eastAsia="zh-CN"/>
        </w:rPr>
        <w:t>环境</w:t>
      </w:r>
      <w:r>
        <w:rPr>
          <w:rFonts w:hint="eastAsia" w:ascii="方正仿宋_GBK" w:hAnsi="方正仿宋_GBK" w:eastAsia="方正仿宋_GBK" w:cs="方正仿宋_GBK"/>
          <w:b/>
          <w:bCs/>
        </w:rPr>
        <w:t>看</w:t>
      </w:r>
      <w:r>
        <w:rPr>
          <w:rFonts w:hint="eastAsia" w:ascii="方正仿宋_GBK" w:hAnsi="方正仿宋_GBK" w:eastAsia="方正仿宋_GBK" w:cs="方正仿宋_GBK"/>
        </w:rPr>
        <w:t>，</w:t>
      </w:r>
      <w:bookmarkStart w:id="53" w:name="OLE_LINK1"/>
      <w:r>
        <w:rPr>
          <w:rFonts w:hint="eastAsia" w:ascii="方正仿宋_GBK" w:hAnsi="方正仿宋_GBK" w:eastAsia="方正仿宋_GBK" w:cs="方正仿宋_GBK"/>
        </w:rPr>
        <w:t>百年变局和世纪疫情相互交织，经济全球化遭遇逆流，新一轮农业科技革命和产业变革加速演进，科技创新成为国际战略博弈的主要战场，为农业科技发展带来重大机遇，实现高水平农业科技自立自强成为战略选择。</w:t>
      </w:r>
      <w:bookmarkEnd w:id="53"/>
      <w:r>
        <w:rPr>
          <w:rFonts w:hint="eastAsia" w:ascii="方正仿宋_GBK" w:hAnsi="方正仿宋_GBK" w:eastAsia="方正仿宋_GBK" w:cs="方正仿宋_GBK"/>
          <w:b/>
          <w:bCs/>
        </w:rPr>
        <w:t>从国内</w:t>
      </w:r>
      <w:r>
        <w:rPr>
          <w:rFonts w:hint="eastAsia" w:ascii="方正仿宋_GBK" w:hAnsi="方正仿宋_GBK" w:eastAsia="方正仿宋_GBK" w:cs="方正仿宋_GBK"/>
          <w:b/>
          <w:bCs/>
          <w:lang w:val="en-US" w:eastAsia="zh-CN"/>
        </w:rPr>
        <w:t>形势</w:t>
      </w:r>
      <w:r>
        <w:rPr>
          <w:rFonts w:hint="eastAsia" w:ascii="方正仿宋_GBK" w:hAnsi="方正仿宋_GBK" w:eastAsia="方正仿宋_GBK" w:cs="方正仿宋_GBK"/>
          <w:b/>
          <w:bCs/>
        </w:rPr>
        <w:t>看，</w:t>
      </w:r>
      <w:r>
        <w:rPr>
          <w:rFonts w:hint="eastAsia" w:ascii="方正仿宋_GBK" w:hAnsi="方正仿宋_GBK" w:eastAsia="方正仿宋_GBK" w:cs="方正仿宋_GBK"/>
        </w:rPr>
        <w:t>我国经济已由高速增长阶段转向高质量发展阶段，统筹发展与安全，最重要的是国家粮食安全，要害是种子和耕地，根本出路在科技。</w:t>
      </w:r>
      <w:r>
        <w:rPr>
          <w:rFonts w:hint="eastAsia" w:ascii="方正仿宋_GBK" w:hAnsi="方正仿宋_GBK" w:eastAsia="方正仿宋_GBK" w:cs="方正仿宋_GBK"/>
          <w:lang w:eastAsia="zh-CN"/>
        </w:rPr>
        <w:t>构建新发展格局,促进城乡经济循环,亟需增强创新第一动力,提供科学技术解决方案。</w:t>
      </w:r>
      <w:r>
        <w:rPr>
          <w:rFonts w:hint="eastAsia" w:ascii="方正仿宋_GBK" w:hAnsi="方正仿宋_GBK" w:eastAsia="方正仿宋_GBK" w:cs="方正仿宋_GBK"/>
          <w:b/>
          <w:bCs/>
        </w:rPr>
        <w:t>从省内</w:t>
      </w:r>
      <w:r>
        <w:rPr>
          <w:rFonts w:hint="eastAsia" w:ascii="方正仿宋_GBK" w:hAnsi="方正仿宋_GBK" w:eastAsia="方正仿宋_GBK" w:cs="方正仿宋_GBK"/>
          <w:b/>
          <w:bCs/>
          <w:lang w:val="en-US" w:eastAsia="zh-CN"/>
        </w:rPr>
        <w:t>发展</w:t>
      </w:r>
      <w:r>
        <w:rPr>
          <w:rFonts w:hint="eastAsia" w:ascii="方正仿宋_GBK" w:hAnsi="方正仿宋_GBK" w:eastAsia="方正仿宋_GBK" w:cs="方正仿宋_GBK"/>
          <w:b/>
          <w:bCs/>
        </w:rPr>
        <w:t>看</w:t>
      </w:r>
      <w:r>
        <w:rPr>
          <w:rFonts w:hint="eastAsia" w:ascii="方正仿宋_GBK" w:hAnsi="方正仿宋_GBK" w:eastAsia="方正仿宋_GBK" w:cs="方正仿宋_GBK"/>
        </w:rPr>
        <w:t>，我省进入全方位推动高质量发展新阶段，习近平总书记指出,山西农业的出路在于“特”和“优”，为</w:t>
      </w:r>
      <w:r>
        <w:rPr>
          <w:rFonts w:hint="eastAsia" w:ascii="方正仿宋_GBK" w:hAnsi="方正仿宋_GBK" w:eastAsia="方正仿宋_GBK" w:cs="方正仿宋_GBK"/>
          <w:lang w:val="en-US" w:eastAsia="zh-CN"/>
        </w:rPr>
        <w:t>我</w:t>
      </w:r>
      <w:r>
        <w:rPr>
          <w:rFonts w:hint="eastAsia" w:ascii="方正仿宋_GBK" w:hAnsi="方正仿宋_GBK" w:eastAsia="方正仿宋_GBK" w:cs="方正仿宋_GBK"/>
        </w:rPr>
        <w:t>省农业发展指明了方向</w:t>
      </w:r>
      <w:r>
        <w:rPr>
          <w:rFonts w:hint="eastAsia" w:ascii="方正仿宋_GBK" w:hAnsi="方正仿宋_GBK" w:eastAsia="方正仿宋_GBK" w:cs="方正仿宋_GBK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lang w:val="en-US" w:eastAsia="zh-CN"/>
        </w:rPr>
        <w:t>提供了</w:t>
      </w:r>
      <w:r>
        <w:rPr>
          <w:rFonts w:hint="eastAsia" w:ascii="方正仿宋_GBK" w:hAnsi="方正仿宋_GBK" w:eastAsia="方正仿宋_GBK" w:cs="方正仿宋_GBK"/>
        </w:rPr>
        <w:t>遵循。晋中国家农高区、太谷国家农业科创中心</w:t>
      </w:r>
      <w:r>
        <w:rPr>
          <w:rFonts w:hint="eastAsia" w:ascii="方正仿宋_GBK" w:hAnsi="方正仿宋_GBK" w:eastAsia="方正仿宋_GBK" w:cs="方正仿宋_GBK"/>
          <w:lang w:val="en-US" w:eastAsia="zh-CN"/>
        </w:rPr>
        <w:t>建设</w:t>
      </w:r>
      <w:r>
        <w:rPr>
          <w:rFonts w:hint="eastAsia" w:ascii="方正仿宋_GBK" w:hAnsi="方正仿宋_GBK" w:eastAsia="方正仿宋_GBK" w:cs="方正仿宋_GBK"/>
        </w:rPr>
        <w:t>为我省农业科技</w:t>
      </w:r>
      <w:r>
        <w:rPr>
          <w:rFonts w:hint="eastAsia" w:ascii="方正仿宋_GBK" w:hAnsi="方正仿宋_GBK" w:eastAsia="方正仿宋_GBK" w:cs="方正仿宋_GBK"/>
          <w:lang w:val="en-US" w:eastAsia="zh-CN"/>
        </w:rPr>
        <w:t>发展</w:t>
      </w:r>
      <w:r>
        <w:rPr>
          <w:rFonts w:hint="eastAsia" w:ascii="方正仿宋_GBK" w:hAnsi="方正仿宋_GBK" w:eastAsia="方正仿宋_GBK" w:cs="方正仿宋_GBK"/>
        </w:rPr>
        <w:t>提供了更高水平的支撑。</w:t>
      </w:r>
      <w:r>
        <w:rPr>
          <w:rFonts w:hint="eastAsia" w:ascii="方正仿宋_GBK" w:hAnsi="方正仿宋_GBK" w:eastAsia="方正仿宋_GBK" w:cs="方正仿宋_GBK"/>
          <w:lang w:val="en-US" w:eastAsia="zh-CN"/>
        </w:rPr>
        <w:t>加强</w:t>
      </w:r>
      <w:r>
        <w:rPr>
          <w:rFonts w:hint="eastAsia" w:ascii="方正仿宋_GBK" w:hAnsi="方正仿宋_GBK" w:eastAsia="方正仿宋_GBK" w:cs="方正仿宋_GBK"/>
        </w:rPr>
        <w:t>现代农业产业技术体系、农技推广体系、高素质农民培训体系</w:t>
      </w:r>
      <w:r>
        <w:rPr>
          <w:rFonts w:hint="eastAsia" w:ascii="方正仿宋_GBK" w:hAnsi="方正仿宋_GBK" w:eastAsia="方正仿宋_GBK" w:cs="方正仿宋_GBK"/>
          <w:lang w:val="en-US" w:eastAsia="zh-CN"/>
        </w:rPr>
        <w:t>建设</w:t>
      </w:r>
      <w:r>
        <w:rPr>
          <w:rFonts w:hint="eastAsia" w:ascii="方正仿宋_GBK" w:hAnsi="方正仿宋_GBK" w:eastAsia="方正仿宋_GBK" w:cs="方正仿宋_GBK"/>
        </w:rPr>
        <w:t>，开展专家团队项目工队营销战队“三队”包联服务等为农业</w:t>
      </w:r>
      <w:r>
        <w:rPr>
          <w:rFonts w:hint="eastAsia" w:ascii="方正仿宋_GBK" w:hAnsi="方正仿宋_GBK" w:eastAsia="方正仿宋_GBK" w:cs="方正仿宋_GBK"/>
          <w:lang w:val="en-US" w:eastAsia="zh-CN"/>
        </w:rPr>
        <w:t>农村</w:t>
      </w:r>
      <w:r>
        <w:rPr>
          <w:rFonts w:hint="eastAsia" w:ascii="方正仿宋_GBK" w:hAnsi="方正仿宋_GBK" w:eastAsia="方正仿宋_GBK" w:cs="方正仿宋_GBK"/>
        </w:rPr>
        <w:t>科技</w:t>
      </w:r>
      <w:r>
        <w:rPr>
          <w:rFonts w:hint="eastAsia" w:ascii="方正仿宋_GBK" w:hAnsi="方正仿宋_GBK" w:eastAsia="方正仿宋_GBK" w:cs="方正仿宋_GBK"/>
          <w:lang w:val="en-US" w:eastAsia="zh-CN"/>
        </w:rPr>
        <w:t>发展提供</w:t>
      </w:r>
      <w:r>
        <w:rPr>
          <w:rFonts w:hint="eastAsia" w:ascii="方正仿宋_GBK" w:hAnsi="方正仿宋_GBK" w:eastAsia="方正仿宋_GBK" w:cs="方正仿宋_GBK"/>
        </w:rPr>
        <w:t>了前所未有的机遇。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/>
          <w:bCs/>
          <w:lang w:val="en-US" w:eastAsia="zh-CN"/>
        </w:rPr>
        <w:t>总体而言，</w:t>
      </w:r>
      <w:r>
        <w:rPr>
          <w:rFonts w:hint="eastAsia" w:ascii="方正仿宋_GBK" w:hAnsi="方正仿宋_GBK" w:eastAsia="方正仿宋_GBK" w:cs="方正仿宋_GBK"/>
        </w:rPr>
        <w:t>我省农业科技发展具有多方面优势和条件,但也存在一些短板和薄弱环节。农业关键技术供给不足，农业抗灾减灾能力</w:t>
      </w:r>
      <w:r>
        <w:rPr>
          <w:rFonts w:hint="eastAsia" w:ascii="方正仿宋_GBK" w:hAnsi="方正仿宋_GBK" w:eastAsia="方正仿宋_GBK" w:cs="方正仿宋_GBK"/>
          <w:lang w:val="en-US" w:eastAsia="zh-CN"/>
        </w:rPr>
        <w:t>不强</w:t>
      </w:r>
      <w:r>
        <w:rPr>
          <w:rFonts w:hint="eastAsia" w:ascii="方正仿宋_GBK" w:hAnsi="方正仿宋_GBK" w:eastAsia="方正仿宋_GBK" w:cs="方正仿宋_GBK"/>
        </w:rPr>
        <w:t>，土地产出率、劳动生产率、资源利用率不高，粮食单产低于全国平均水平</w:t>
      </w:r>
      <w:r>
        <w:rPr>
          <w:rFonts w:hint="eastAsia" w:ascii="方正仿宋_GBK" w:hAnsi="方正仿宋_GBK" w:eastAsia="方正仿宋_GBK" w:cs="方正仿宋_GBK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</w:rPr>
        <w:t>科研创新能力不能适应农业</w:t>
      </w:r>
      <w:r>
        <w:rPr>
          <w:rFonts w:hint="eastAsia" w:ascii="方正仿宋_GBK" w:hAnsi="方正仿宋_GBK" w:eastAsia="方正仿宋_GBK" w:cs="方正仿宋_GBK"/>
          <w:lang w:val="en-US" w:eastAsia="zh-CN"/>
        </w:rPr>
        <w:t>农村</w:t>
      </w:r>
      <w:r>
        <w:rPr>
          <w:rFonts w:hint="eastAsia" w:ascii="方正仿宋_GBK" w:hAnsi="方正仿宋_GBK" w:eastAsia="方正仿宋_GBK" w:cs="方正仿宋_GBK"/>
        </w:rPr>
        <w:t>高质量发展要求，科研与生产、科技与经济脱节现象仍然存在，科技成果转化亟待提速，农业企业创新主体地位亟待提高，农业农村科技发展任重道远。必须把握机遇，攻坚克难，发挥好科技创新这个关键变量作用，锻长板、补短板，推进产学研深度融合，力争实现“强基础、谋新局、蹚新路”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firstLine="640" w:firstLineChars="200"/>
        <w:textAlignment w:val="auto"/>
        <w:outlineLvl w:val="9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54" w:name="_Toc1660103548_WPSOffice_Level1"/>
      <w:bookmarkStart w:id="55" w:name="_Toc1647120371_WPSOffice_Level1"/>
      <w:bookmarkStart w:id="56" w:name="_Toc866946489_WPSOffice_Level1"/>
      <w:bookmarkStart w:id="57" w:name="_Toc220959441_WPSOffice_Level1"/>
      <w:bookmarkStart w:id="58" w:name="_Toc2211"/>
      <w:bookmarkStart w:id="59" w:name="_Toc27529"/>
      <w:bookmarkStart w:id="60" w:name="_Toc28074"/>
      <w:bookmarkStart w:id="61" w:name="_Toc18681"/>
      <w:bookmarkStart w:id="62" w:name="_Toc29844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二、总体要求</w:t>
      </w:r>
      <w:bookmarkEnd w:id="32"/>
      <w:bookmarkEnd w:id="33"/>
      <w:bookmarkEnd w:id="34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</w:rPr>
      </w:pPr>
      <w:bookmarkStart w:id="63" w:name="_Toc1445366625_WPSOffice_Level2"/>
      <w:bookmarkStart w:id="64" w:name="_Toc457797390_WPSOffice_Level2"/>
      <w:bookmarkStart w:id="65" w:name="_Toc6209"/>
      <w:bookmarkStart w:id="66" w:name="_Toc1902888394_WPSOffice_Level2"/>
      <w:bookmarkStart w:id="67" w:name="_Toc14293"/>
      <w:bookmarkStart w:id="68" w:name="_Toc17576"/>
      <w:bookmarkStart w:id="69" w:name="_Toc1042"/>
      <w:bookmarkStart w:id="70" w:name="_Toc520117654_WPSOffice_Level2"/>
      <w:bookmarkStart w:id="71" w:name="_Toc18581"/>
      <w:r>
        <w:rPr>
          <w:rFonts w:hint="eastAsia" w:ascii="方正楷体_GBK" w:hAnsi="方正楷体_GBK" w:eastAsia="方正楷体_GBK" w:cs="方正楷体_GBK"/>
          <w:b/>
          <w:bCs/>
        </w:rPr>
        <w:t>（一）指导思想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以习近平新时代中国特色社会主义思想为指导，全面落实党的十九大和十九届历次全会精神，深入学习贯彻习近平总书记考察调研山西重要指示精神，以全方位推动农业农村高质量发展为主题，以提升农业农</w:t>
      </w:r>
      <w:r>
        <w:rPr>
          <w:rFonts w:hint="eastAsia" w:ascii="方正仿宋_GBK" w:hAnsi="方正仿宋_GBK" w:eastAsia="方正仿宋_GBK" w:cs="方正仿宋_GBK"/>
          <w:lang w:eastAsia="zh-CN"/>
        </w:rPr>
        <w:t>村</w:t>
      </w:r>
      <w:r>
        <w:rPr>
          <w:rFonts w:hint="eastAsia" w:ascii="方正仿宋_GBK" w:hAnsi="方正仿宋_GBK" w:eastAsia="方正仿宋_GBK" w:cs="方正仿宋_GBK"/>
        </w:rPr>
        <w:t>科技供给质量和效率为目标，</w:t>
      </w:r>
      <w:r>
        <w:rPr>
          <w:rFonts w:hint="eastAsia" w:ascii="方正仿宋_GBK" w:hAnsi="方正仿宋_GBK" w:eastAsia="方正仿宋_GBK" w:cs="方正仿宋_GBK"/>
          <w:lang w:val="en-US" w:eastAsia="zh-CN"/>
        </w:rPr>
        <w:t>聚焦全面推进乡村振兴科技需求</w:t>
      </w:r>
      <w:r>
        <w:rPr>
          <w:rFonts w:hint="eastAsia" w:ascii="方正仿宋_GBK" w:hAnsi="方正仿宋_GBK" w:eastAsia="方正仿宋_GBK" w:cs="方正仿宋_GBK"/>
          <w:color w:val="C0504D" w:themeColor="accent2"/>
          <w14:textFill>
            <w14:solidFill>
              <w14:schemeClr w14:val="accent2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lang w:val="en-US" w:eastAsia="zh-CN"/>
        </w:rPr>
        <w:t>提升科技创新能力、优化科技创新体系、培育科技人才队伍、创新科技体制机制，推动产学研深度融合</w:t>
      </w:r>
      <w:r>
        <w:rPr>
          <w:rFonts w:hint="eastAsia" w:ascii="方正仿宋_GBK" w:hAnsi="方正仿宋_GBK" w:eastAsia="方正仿宋_GBK" w:cs="方正仿宋_GBK"/>
        </w:rPr>
        <w:t>，为推进</w:t>
      </w:r>
      <w:r>
        <w:rPr>
          <w:rFonts w:hint="eastAsia" w:ascii="方正仿宋_GBK" w:hAnsi="方正仿宋_GBK" w:eastAsia="方正仿宋_GBK" w:cs="方正仿宋_GBK"/>
          <w:lang w:val="en-US" w:eastAsia="zh-CN"/>
        </w:rPr>
        <w:t>农业农村高质量发展</w:t>
      </w:r>
      <w:r>
        <w:rPr>
          <w:rFonts w:hint="eastAsia" w:ascii="方正仿宋_GBK" w:hAnsi="方正仿宋_GBK" w:eastAsia="方正仿宋_GBK" w:cs="方正仿宋_GBK"/>
        </w:rPr>
        <w:t>提供强有力的科技支撑。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</w:rPr>
      </w:pPr>
      <w:bookmarkStart w:id="72" w:name="_Toc1350572872_WPSOffice_Level2"/>
      <w:bookmarkStart w:id="73" w:name="_Toc16826"/>
      <w:bookmarkStart w:id="74" w:name="_Toc5928"/>
      <w:bookmarkStart w:id="75" w:name="_Toc16341"/>
      <w:bookmarkStart w:id="76" w:name="_Toc32356"/>
      <w:bookmarkStart w:id="77" w:name="_Toc2130389246_WPSOffice_Level2"/>
      <w:bookmarkStart w:id="78" w:name="_Toc1675338036_WPSOffice_Level2"/>
      <w:bookmarkStart w:id="79" w:name="_Toc766021000_WPSOffice_Level2"/>
      <w:bookmarkStart w:id="80" w:name="_Toc29159"/>
      <w:bookmarkStart w:id="81" w:name="_Toc7721"/>
      <w:bookmarkStart w:id="82" w:name="_Toc1818066974_WPSOffice_Level2"/>
      <w:bookmarkStart w:id="83" w:name="_Toc1537121369_WPSOffice_Level2"/>
      <w:bookmarkStart w:id="84" w:name="_Toc1357677839_WPSOffice_Level2"/>
      <w:r>
        <w:rPr>
          <w:rFonts w:hint="eastAsia" w:ascii="方正楷体_GBK" w:hAnsi="方正楷体_GBK" w:eastAsia="方正楷体_GBK" w:cs="方正楷体_GBK"/>
          <w:b/>
          <w:bCs/>
        </w:rPr>
        <w:t>（二）基本原则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color w:va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</w:rPr>
        <w:t>聚焦需求，问题导向。</w:t>
      </w:r>
      <w:r>
        <w:rPr>
          <w:rFonts w:hint="eastAsia" w:ascii="方正仿宋_GBK" w:hAnsi="方正仿宋_GBK" w:eastAsia="方正仿宋_GBK" w:cs="方正仿宋_GBK"/>
          <w:color w:val="auto"/>
        </w:rPr>
        <w:t>聚焦</w:t>
      </w:r>
      <w:r>
        <w:rPr>
          <w:rFonts w:hint="eastAsia" w:ascii="方正仿宋_GBK" w:hAnsi="方正仿宋_GBK" w:eastAsia="方正仿宋_GBK" w:cs="方正仿宋_GBK"/>
          <w:color w:val="auto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color w:val="auto"/>
          <w:lang w:val="en-US" w:eastAsia="zh-CN"/>
        </w:rPr>
        <w:t>吃得饱</w:t>
      </w:r>
      <w:r>
        <w:rPr>
          <w:rFonts w:hint="eastAsia" w:ascii="方正仿宋_GBK" w:hAnsi="方正仿宋_GBK" w:eastAsia="方正仿宋_GBK" w:cs="方正仿宋_GBK"/>
          <w:color w:val="auto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lang w:val="en-US" w:eastAsia="zh-CN"/>
        </w:rPr>
        <w:t>吃得好</w:t>
      </w:r>
      <w:r>
        <w:rPr>
          <w:rFonts w:hint="eastAsia" w:ascii="方正仿宋_GBK" w:hAnsi="方正仿宋_GBK" w:eastAsia="方正仿宋_GBK" w:cs="方正仿宋_GBK"/>
          <w:color w:val="auto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lang w:val="en-US" w:eastAsia="zh-CN"/>
        </w:rPr>
        <w:t>吃得放心</w:t>
      </w:r>
      <w:r>
        <w:rPr>
          <w:rFonts w:hint="eastAsia" w:ascii="方正仿宋_GBK" w:hAnsi="方正仿宋_GBK" w:eastAsia="方正仿宋_GBK" w:cs="方正仿宋_GBK"/>
          <w:color w:val="auto"/>
          <w:lang w:eastAsia="zh-CN"/>
        </w:rPr>
        <w:t>”，</w:t>
      </w:r>
      <w:r>
        <w:rPr>
          <w:rFonts w:hint="eastAsia" w:ascii="方正仿宋_GBK" w:hAnsi="方正仿宋_GBK" w:eastAsia="方正仿宋_GBK" w:cs="方正仿宋_GBK"/>
          <w:color w:val="auto"/>
          <w:lang w:val="en-US" w:eastAsia="zh-CN"/>
        </w:rPr>
        <w:t>加快构建适应高产、优质、高效、生态、安全农业发展要求的技术体系。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/>
          <w:bCs/>
        </w:rPr>
        <w:t>整合资源，联合协作。</w:t>
      </w:r>
      <w:r>
        <w:rPr>
          <w:rFonts w:hint="eastAsia" w:ascii="方正仿宋_GBK" w:hAnsi="方正仿宋_GBK" w:eastAsia="方正仿宋_GBK" w:cs="方正仿宋_GBK"/>
        </w:rPr>
        <w:t>优化整合创新资源，围绕产业链部署科技链、创新链，搭建产学研深度融合的协同创新体系，形成推进农业科技</w:t>
      </w:r>
      <w:r>
        <w:rPr>
          <w:rFonts w:hint="eastAsia" w:ascii="方正仿宋_GBK" w:hAnsi="方正仿宋_GBK" w:eastAsia="方正仿宋_GBK" w:cs="方正仿宋_GBK"/>
          <w:lang w:val="en-US" w:eastAsia="zh-CN"/>
        </w:rPr>
        <w:t>发展</w:t>
      </w:r>
      <w:r>
        <w:rPr>
          <w:rFonts w:hint="eastAsia" w:ascii="方正仿宋_GBK" w:hAnsi="方正仿宋_GBK" w:eastAsia="方正仿宋_GBK" w:cs="方正仿宋_GBK"/>
        </w:rPr>
        <w:t>合力。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/>
          <w:bCs/>
        </w:rPr>
        <w:t>创新机制，提升效能。</w:t>
      </w:r>
      <w:r>
        <w:rPr>
          <w:rFonts w:hint="eastAsia" w:ascii="方正仿宋_GBK" w:hAnsi="方正仿宋_GBK" w:eastAsia="方正仿宋_GBK" w:cs="方正仿宋_GBK"/>
        </w:rPr>
        <w:t>坚持农业科技创新和体制机制创新双轮驱动，创新科研组织方式，完善评价激励制度，激发各类创新主体积极性创造性。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</w:rPr>
      </w:pPr>
      <w:bookmarkStart w:id="85" w:name="_Toc2672"/>
      <w:bookmarkStart w:id="86" w:name="_Toc2859"/>
      <w:bookmarkStart w:id="87" w:name="_Toc4297"/>
      <w:bookmarkStart w:id="88" w:name="_Toc1457"/>
      <w:bookmarkStart w:id="89" w:name="_Toc14089"/>
      <w:bookmarkStart w:id="90" w:name="_Toc1640847746_WPSOffice_Level2"/>
      <w:r>
        <w:rPr>
          <w:rFonts w:hint="eastAsia" w:ascii="方正楷体_GBK" w:hAnsi="方正楷体_GBK" w:eastAsia="方正楷体_GBK" w:cs="方正楷体_GBK"/>
          <w:b/>
          <w:bCs/>
        </w:rPr>
        <w:t>（三）发展目标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到2025年，农业农村科技创新体系基本完善，农技推广服务更加高效,高素质农民队伍更加壮大,农业科技体制机制改革取得明显成效，农业科技支撑引领作用显著提升，农业科技进步贡献率达到全国平均水平。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</w:rPr>
        <w:t>——农业科技创新</w:t>
      </w:r>
      <w:r>
        <w:rPr>
          <w:rFonts w:hint="eastAsia" w:ascii="方正仿宋_GBK" w:hAnsi="方正仿宋_GBK" w:eastAsia="方正仿宋_GBK" w:cs="方正仿宋_GBK"/>
          <w:b/>
          <w:bCs/>
          <w:lang w:val="en-US" w:eastAsia="zh-CN"/>
        </w:rPr>
        <w:t>取得新突破</w:t>
      </w:r>
      <w:r>
        <w:rPr>
          <w:rFonts w:hint="eastAsia" w:ascii="方正仿宋_GBK" w:hAnsi="方正仿宋_GBK" w:eastAsia="方正仿宋_GBK" w:cs="方正仿宋_GBK"/>
          <w:b/>
          <w:bCs/>
        </w:rPr>
        <w:t>。</w:t>
      </w:r>
      <w:r>
        <w:rPr>
          <w:rFonts w:hint="eastAsia" w:ascii="方正仿宋_GBK" w:hAnsi="方正仿宋_GBK" w:eastAsia="方正仿宋_GBK" w:cs="方正仿宋_GBK"/>
        </w:rPr>
        <w:t>建立农业重大</w:t>
      </w:r>
      <w:r>
        <w:rPr>
          <w:rFonts w:hint="eastAsia" w:ascii="方正仿宋_GBK" w:hAnsi="方正仿宋_GBK" w:eastAsia="方正仿宋_GBK" w:cs="方正仿宋_GBK"/>
          <w:lang w:eastAsia="zh-CN"/>
        </w:rPr>
        <w:t>科技</w:t>
      </w:r>
      <w:r>
        <w:rPr>
          <w:rFonts w:hint="eastAsia" w:ascii="方正仿宋_GBK" w:hAnsi="方正仿宋_GBK" w:eastAsia="方正仿宋_GBK" w:cs="方正仿宋_GBK"/>
        </w:rPr>
        <w:t>攻关清单，明确农业科技创新导向</w:t>
      </w:r>
      <w:r>
        <w:rPr>
          <w:rFonts w:hint="eastAsia" w:ascii="方正仿宋_GBK" w:hAnsi="方正仿宋_GBK" w:eastAsia="方正仿宋_GBK" w:cs="方正仿宋_GBK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</w:rPr>
        <w:t>培育一批高产、优质、多抗、广适新品种</w:t>
      </w:r>
      <w:r>
        <w:rPr>
          <w:rFonts w:hint="eastAsia" w:ascii="方正仿宋_GBK" w:hAnsi="方正仿宋_GBK" w:eastAsia="方正仿宋_GBK" w:cs="方正仿宋_GBK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</w:rPr>
        <w:t>集成创新一批农机农艺融合关键技术、高产高效主推技术、生产生态安全技术</w:t>
      </w:r>
      <w:r>
        <w:rPr>
          <w:rFonts w:hint="eastAsia" w:ascii="方正仿宋_GBK" w:hAnsi="方正仿宋_GBK" w:eastAsia="方正仿宋_GBK" w:cs="方正仿宋_GBK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</w:rPr>
        <w:t>建立17个现代农业产业技术体系、9个联合育种攻关团队、10个重大技术协同推广团队，形成</w:t>
      </w:r>
      <w:r>
        <w:rPr>
          <w:rFonts w:hint="eastAsia" w:ascii="方正仿宋_GBK" w:hAnsi="方正仿宋_GBK" w:eastAsia="方正仿宋_GBK" w:cs="方正仿宋_GBK"/>
          <w:lang w:val="en-US" w:eastAsia="zh-CN"/>
        </w:rPr>
        <w:t>支撑</w:t>
      </w:r>
      <w:r>
        <w:rPr>
          <w:rFonts w:hint="eastAsia" w:ascii="方正仿宋_GBK" w:hAnsi="方正仿宋_GBK" w:eastAsia="方正仿宋_GBK" w:cs="方正仿宋_GBK"/>
        </w:rPr>
        <w:t>农业农村高质量发展的科技</w:t>
      </w:r>
      <w:r>
        <w:rPr>
          <w:rFonts w:hint="eastAsia" w:ascii="方正仿宋_GBK" w:hAnsi="方正仿宋_GBK" w:eastAsia="方正仿宋_GBK" w:cs="方正仿宋_GBK"/>
          <w:lang w:val="en-US" w:eastAsia="zh-CN"/>
        </w:rPr>
        <w:t>创新</w:t>
      </w:r>
      <w:r>
        <w:rPr>
          <w:rFonts w:hint="eastAsia" w:ascii="方正仿宋_GBK" w:hAnsi="方正仿宋_GBK" w:eastAsia="方正仿宋_GBK" w:cs="方正仿宋_GBK"/>
          <w:lang w:eastAsia="zh-CN"/>
        </w:rPr>
        <w:t>力量。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/>
          <w:bCs/>
        </w:rPr>
        <w:t>——产学研融合平台</w:t>
      </w:r>
      <w:r>
        <w:rPr>
          <w:rFonts w:hint="eastAsia" w:ascii="方正仿宋_GBK" w:hAnsi="方正仿宋_GBK" w:eastAsia="方正仿宋_GBK" w:cs="方正仿宋_GBK"/>
          <w:b/>
          <w:bCs/>
          <w:lang w:val="en-US" w:eastAsia="zh-CN"/>
        </w:rPr>
        <w:t>实现新发展</w:t>
      </w:r>
      <w:r>
        <w:rPr>
          <w:rFonts w:hint="eastAsia" w:ascii="方正仿宋_GBK" w:hAnsi="方正仿宋_GBK" w:eastAsia="方正仿宋_GBK" w:cs="方正仿宋_GBK"/>
          <w:b/>
          <w:bCs/>
        </w:rPr>
        <w:t>。</w:t>
      </w:r>
      <w:r>
        <w:rPr>
          <w:rFonts w:hint="eastAsia" w:ascii="方正仿宋_GBK" w:hAnsi="方正仿宋_GBK" w:eastAsia="方正仿宋_GBK" w:cs="方正仿宋_GBK"/>
        </w:rPr>
        <w:t>晋中国家农高区（太谷国家农业科创中心）</w:t>
      </w:r>
      <w:r>
        <w:rPr>
          <w:rFonts w:hint="eastAsia" w:ascii="方正仿宋_GBK" w:hAnsi="方正仿宋_GBK" w:eastAsia="方正仿宋_GBK" w:cs="方正仿宋_GBK"/>
          <w:lang w:val="en-US" w:eastAsia="zh-CN"/>
        </w:rPr>
        <w:t>建设提档升级</w:t>
      </w:r>
      <w:r>
        <w:rPr>
          <w:rFonts w:hint="eastAsia" w:ascii="方正仿宋_GBK" w:hAnsi="方正仿宋_GBK" w:eastAsia="方正仿宋_GBK" w:cs="方正仿宋_GBK"/>
        </w:rPr>
        <w:t>,</w:t>
      </w:r>
      <w:r>
        <w:rPr>
          <w:rFonts w:hint="eastAsia" w:ascii="方正仿宋_GBK" w:hAnsi="方正仿宋_GBK" w:eastAsia="方正仿宋_GBK" w:cs="方正仿宋_GBK"/>
          <w:lang w:val="en-US" w:eastAsia="zh-CN"/>
        </w:rPr>
        <w:t>在有机旱作和功能农业领域形成一批高转化性科技成果，</w:t>
      </w:r>
      <w:r>
        <w:rPr>
          <w:rFonts w:hint="eastAsia" w:ascii="方正仿宋_GBK" w:hAnsi="方正仿宋_GBK" w:eastAsia="方正仿宋_GBK" w:cs="方正仿宋_GBK"/>
        </w:rPr>
        <w:t>农业 “硅谷”和区域经济增长极作用日益凸显</w:t>
      </w:r>
      <w:r>
        <w:rPr>
          <w:rFonts w:hint="eastAsia" w:ascii="方正仿宋_GBK" w:hAnsi="方正仿宋_GBK" w:eastAsia="方正仿宋_GBK" w:cs="方正仿宋_GBK"/>
          <w:lang w:val="en-US" w:eastAsia="zh-CN"/>
        </w:rPr>
        <w:t>。支持建设省级以上重点实验室、技术研发中心和科研试验基地，打造一批科技创新平台，争取更多省级科技资源进入国家农业科技战略布局。支持企业牵头组建创新联合体,催生一批专精特新涉农企业。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/>
          <w:bCs/>
        </w:rPr>
        <w:t>——农技推广服务实现新跃升。</w:t>
      </w:r>
      <w:r>
        <w:rPr>
          <w:rFonts w:hint="eastAsia" w:ascii="方正仿宋_GBK" w:hAnsi="方正仿宋_GBK" w:eastAsia="方正仿宋_GBK" w:cs="方正仿宋_GBK"/>
          <w:lang w:eastAsia="zh-CN"/>
        </w:rPr>
        <w:t>编制</w:t>
      </w:r>
      <w:r>
        <w:rPr>
          <w:rFonts w:hint="eastAsia" w:ascii="方正仿宋_GBK" w:hAnsi="方正仿宋_GBK" w:eastAsia="方正仿宋_GBK" w:cs="方正仿宋_GBK"/>
        </w:rPr>
        <w:t>农业重大技术集成推广清单，集成推广农业重大技术</w:t>
      </w:r>
      <w:r>
        <w:rPr>
          <w:rFonts w:hint="eastAsia" w:ascii="方正仿宋_GBK" w:hAnsi="方正仿宋_GBK" w:eastAsia="方正仿宋_GBK" w:cs="方正仿宋_GBK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lang w:val="en-US" w:eastAsia="zh-CN"/>
        </w:rPr>
        <w:t>主推技术</w:t>
      </w:r>
      <w:r>
        <w:rPr>
          <w:rFonts w:hint="eastAsia" w:ascii="方正仿宋_GBK" w:hAnsi="方正仿宋_GBK" w:eastAsia="方正仿宋_GBK" w:cs="方正仿宋_GBK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lang w:val="en-US" w:eastAsia="zh-CN"/>
        </w:rPr>
        <w:t>组织产业</w:t>
      </w:r>
      <w:r>
        <w:rPr>
          <w:rFonts w:hint="eastAsia" w:ascii="方正仿宋_GBK" w:hAnsi="方正仿宋_GBK" w:eastAsia="方正仿宋_GBK" w:cs="方正仿宋_GBK"/>
        </w:rPr>
        <w:t>体系</w:t>
      </w:r>
      <w:r>
        <w:rPr>
          <w:rFonts w:hint="eastAsia" w:ascii="方正仿宋_GBK" w:hAnsi="方正仿宋_GBK" w:eastAsia="方正仿宋_GBK" w:cs="方正仿宋_GBK"/>
          <w:lang w:val="en-US" w:eastAsia="zh-CN"/>
        </w:rPr>
        <w:t>专家</w:t>
      </w:r>
      <w:r>
        <w:rPr>
          <w:rFonts w:hint="eastAsia" w:ascii="方正仿宋_GBK" w:hAnsi="方正仿宋_GBK" w:eastAsia="方正仿宋_GBK" w:cs="方正仿宋_GBK"/>
        </w:rPr>
        <w:t>、</w:t>
      </w:r>
      <w:r>
        <w:rPr>
          <w:rFonts w:hint="eastAsia" w:ascii="方正仿宋_GBK" w:hAnsi="方正仿宋_GBK" w:eastAsia="方正仿宋_GBK" w:cs="方正仿宋_GBK"/>
          <w:lang w:val="en-US" w:eastAsia="zh-CN"/>
        </w:rPr>
        <w:t>农技推广员</w:t>
      </w:r>
      <w:r>
        <w:rPr>
          <w:rFonts w:hint="eastAsia" w:ascii="方正仿宋_GBK" w:hAnsi="方正仿宋_GBK" w:eastAsia="方正仿宋_GBK" w:cs="方正仿宋_GBK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</w:rPr>
        <w:t>乡土专家开展</w:t>
      </w:r>
      <w:r>
        <w:rPr>
          <w:rFonts w:hint="eastAsia" w:ascii="方正仿宋_GBK" w:hAnsi="方正仿宋_GBK" w:eastAsia="方正仿宋_GBK" w:cs="方正仿宋_GBK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lang w:val="en-US" w:eastAsia="zh-CN"/>
        </w:rPr>
        <w:t>专家团队”</w:t>
      </w:r>
      <w:r>
        <w:rPr>
          <w:rFonts w:hint="eastAsia" w:ascii="方正仿宋_GBK" w:hAnsi="方正仿宋_GBK" w:eastAsia="方正仿宋_GBK" w:cs="方正仿宋_GBK"/>
        </w:rPr>
        <w:t>包联服务</w:t>
      </w:r>
      <w:r>
        <w:rPr>
          <w:rFonts w:hint="eastAsia" w:ascii="方正仿宋_GBK" w:hAnsi="方正仿宋_GBK" w:eastAsia="方正仿宋_GBK" w:cs="方正仿宋_GBK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</w:rPr>
        <w:t>培育200个农业科技服务组织,建立200个现代农业科技综合示范基地，培训2000</w:t>
      </w:r>
      <w:r>
        <w:rPr>
          <w:rFonts w:hint="eastAsia" w:ascii="方正仿宋_GBK" w:hAnsi="方正仿宋_GBK" w:eastAsia="方正仿宋_GBK" w:cs="方正仿宋_GBK"/>
          <w:lang w:eastAsia="zh-CN"/>
        </w:rPr>
        <w:t>余</w:t>
      </w:r>
      <w:r>
        <w:rPr>
          <w:rFonts w:hint="eastAsia" w:ascii="方正仿宋_GBK" w:hAnsi="方正仿宋_GBK" w:eastAsia="方正仿宋_GBK" w:cs="方正仿宋_GBK"/>
        </w:rPr>
        <w:t>名农技推广骨干人才</w:t>
      </w:r>
      <w:r>
        <w:rPr>
          <w:rFonts w:hint="eastAsia" w:ascii="方正仿宋_GBK" w:hAnsi="方正仿宋_GBK" w:eastAsia="方正仿宋_GBK" w:cs="方正仿宋_GBK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lang w:val="en-US" w:eastAsia="zh-CN"/>
        </w:rPr>
        <w:t>依托</w:t>
      </w:r>
      <w:r>
        <w:rPr>
          <w:rFonts w:hint="eastAsia" w:ascii="方正仿宋_GBK" w:hAnsi="方正仿宋_GBK" w:eastAsia="方正仿宋_GBK" w:cs="方正仿宋_GBK"/>
        </w:rPr>
        <w:t>中国农技推广信息平</w:t>
      </w:r>
      <w:r>
        <w:rPr>
          <w:rFonts w:hint="eastAsia" w:ascii="方正仿宋_GBK" w:hAnsi="方正仿宋_GBK" w:eastAsia="方正仿宋_GBK" w:cs="方正仿宋_GBK"/>
          <w:lang w:val="en-US" w:eastAsia="zh-CN"/>
        </w:rPr>
        <w:t>台、“12316”信息服务平台等，开展线上技术服务，</w:t>
      </w:r>
      <w:r>
        <w:rPr>
          <w:rFonts w:hint="eastAsia" w:ascii="方正仿宋_GBK" w:hAnsi="方正仿宋_GBK" w:eastAsia="方正仿宋_GBK" w:cs="方正仿宋_GBK"/>
        </w:rPr>
        <w:t>提高</w:t>
      </w:r>
      <w:r>
        <w:rPr>
          <w:rFonts w:hint="eastAsia" w:ascii="方正仿宋_GBK" w:hAnsi="方正仿宋_GBK" w:eastAsia="方正仿宋_GBK" w:cs="方正仿宋_GBK"/>
          <w:lang w:eastAsia="zh-CN"/>
        </w:rPr>
        <w:t>农技推广服务信息化</w:t>
      </w:r>
      <w:r>
        <w:rPr>
          <w:rFonts w:hint="eastAsia" w:ascii="方正仿宋_GBK" w:hAnsi="方正仿宋_GBK" w:eastAsia="方正仿宋_GBK" w:cs="方正仿宋_GBK"/>
        </w:rPr>
        <w:t>水平。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</w:rPr>
        <w:t>——</w:t>
      </w:r>
      <w:r>
        <w:rPr>
          <w:rFonts w:hint="eastAsia" w:ascii="方正仿宋_GBK" w:hAnsi="方正仿宋_GBK" w:eastAsia="方正仿宋_GBK" w:cs="方正仿宋_GBK"/>
          <w:b/>
          <w:bCs/>
          <w:lang w:eastAsia="zh-CN"/>
        </w:rPr>
        <w:t>高</w:t>
      </w:r>
      <w:r>
        <w:rPr>
          <w:rFonts w:hint="eastAsia" w:ascii="方正仿宋_GBK" w:hAnsi="方正仿宋_GBK" w:eastAsia="方正仿宋_GBK" w:cs="方正仿宋_GBK"/>
          <w:b/>
          <w:bCs/>
        </w:rPr>
        <w:t>素质</w:t>
      </w:r>
      <w:r>
        <w:rPr>
          <w:rFonts w:hint="eastAsia" w:ascii="方正仿宋_GBK" w:hAnsi="方正仿宋_GBK" w:eastAsia="方正仿宋_GBK" w:cs="方正仿宋_GBK"/>
          <w:b/>
          <w:bCs/>
          <w:lang w:eastAsia="zh-CN"/>
        </w:rPr>
        <w:t>农民</w:t>
      </w:r>
      <w:r>
        <w:rPr>
          <w:rFonts w:hint="eastAsia" w:ascii="方正仿宋_GBK" w:hAnsi="方正仿宋_GBK" w:eastAsia="方正仿宋_GBK" w:cs="方正仿宋_GBK"/>
          <w:b/>
          <w:bCs/>
          <w:lang w:val="en-US" w:eastAsia="zh-CN"/>
        </w:rPr>
        <w:t>教育培训开创新局面</w:t>
      </w:r>
      <w:r>
        <w:rPr>
          <w:rFonts w:hint="eastAsia" w:ascii="方正仿宋_GBK" w:hAnsi="方正仿宋_GBK" w:eastAsia="方正仿宋_GBK" w:cs="方正仿宋_GBK"/>
          <w:b/>
          <w:bCs/>
          <w:lang w:eastAsia="zh-CN"/>
        </w:rPr>
        <w:t>。</w:t>
      </w:r>
      <w:r>
        <w:rPr>
          <w:rFonts w:hint="eastAsia" w:ascii="方正仿宋_GBK" w:hAnsi="方正仿宋_GBK" w:eastAsia="方正仿宋_GBK" w:cs="方正仿宋_GBK"/>
        </w:rPr>
        <w:t>短期培训、职业培训和学历教育相互衔接的高素质农民培育新格局逐步完善,农民培育制度不断健全。培训45万高素质农民，力争评价合格颁证人数达到参训人数 80%以上。催生一批带动能力强的家庭农场、农民合作社、农业产业化龙头企业等新型农业经营服务主体</w:t>
      </w:r>
      <w:r>
        <w:rPr>
          <w:rFonts w:hint="eastAsia" w:ascii="方正仿宋_GBK" w:hAnsi="方正仿宋_GBK" w:eastAsia="方正仿宋_GBK" w:cs="方正仿宋_GBK"/>
          <w:lang w:eastAsia="zh-CN"/>
        </w:rPr>
        <w:t>。</w:t>
      </w:r>
    </w:p>
    <w:tbl>
      <w:tblPr>
        <w:tblStyle w:val="24"/>
        <w:tblpPr w:leftFromText="180" w:rightFromText="180" w:vertAnchor="text" w:horzAnchor="page" w:tblpX="1953" w:tblpY="575"/>
        <w:tblOverlap w:val="never"/>
        <w:tblW w:w="839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31"/>
        <w:gridCol w:w="3449"/>
        <w:gridCol w:w="910"/>
        <w:gridCol w:w="895"/>
        <w:gridCol w:w="1130"/>
        <w:gridCol w:w="8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1" w:hRule="atLeast"/>
        </w:trPr>
        <w:tc>
          <w:tcPr>
            <w:tcW w:w="83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专栏1  “十四五”时期农业科技发展规划指标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89" w:hRule="atLeast"/>
        </w:trPr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基期值</w:t>
            </w:r>
          </w:p>
        </w:tc>
        <w:tc>
          <w:tcPr>
            <w:tcW w:w="8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2025年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目标值</w:t>
            </w:r>
          </w:p>
        </w:tc>
        <w:tc>
          <w:tcPr>
            <w:tcW w:w="11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年均增速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累计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]</w:t>
            </w:r>
          </w:p>
        </w:tc>
        <w:tc>
          <w:tcPr>
            <w:tcW w:w="87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指标属性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3" w:hRule="atLeast"/>
        </w:trPr>
        <w:tc>
          <w:tcPr>
            <w:tcW w:w="113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技术</w:t>
            </w:r>
          </w:p>
        </w:tc>
        <w:tc>
          <w:tcPr>
            <w:tcW w:w="344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农业科技进步贡献率（%）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60.4</w:t>
            </w:r>
          </w:p>
        </w:tc>
        <w:tc>
          <w:tcPr>
            <w:tcW w:w="8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3.6</w:t>
            </w:r>
            <w:r>
              <w:rPr>
                <w:rFonts w:hint="eastAsia" w:ascii="宋体" w:hAnsi="宋体" w:eastAsia="宋体" w:cs="宋体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〕</w:t>
            </w:r>
          </w:p>
        </w:tc>
        <w:tc>
          <w:tcPr>
            <w:tcW w:w="87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72" w:hRule="atLeast"/>
        </w:trPr>
        <w:tc>
          <w:tcPr>
            <w:tcW w:w="11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良种</w:t>
            </w:r>
          </w:p>
        </w:tc>
        <w:tc>
          <w:tcPr>
            <w:tcW w:w="34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主要农作物良种覆盖率（%）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〕</w:t>
            </w:r>
          </w:p>
        </w:tc>
        <w:tc>
          <w:tcPr>
            <w:tcW w:w="87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3" w:hRule="atLeast"/>
        </w:trPr>
        <w:tc>
          <w:tcPr>
            <w:tcW w:w="11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耕地</w:t>
            </w:r>
          </w:p>
        </w:tc>
        <w:tc>
          <w:tcPr>
            <w:tcW w:w="34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累计建成高标准农田（万亩）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1662</w:t>
            </w:r>
          </w:p>
        </w:tc>
        <w:tc>
          <w:tcPr>
            <w:tcW w:w="8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1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8.1%</w:t>
            </w:r>
          </w:p>
        </w:tc>
        <w:tc>
          <w:tcPr>
            <w:tcW w:w="87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约束性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8" w:hRule="atLeast"/>
        </w:trPr>
        <w:tc>
          <w:tcPr>
            <w:tcW w:w="113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农业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装备</w:t>
            </w:r>
          </w:p>
        </w:tc>
        <w:tc>
          <w:tcPr>
            <w:tcW w:w="344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主要农作物耕种收综合机械化率（%）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72.6</w:t>
            </w:r>
          </w:p>
        </w:tc>
        <w:tc>
          <w:tcPr>
            <w:tcW w:w="8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4.4</w:t>
            </w:r>
            <w:r>
              <w:rPr>
                <w:rFonts w:hint="eastAsia" w:ascii="宋体" w:hAnsi="宋体" w:eastAsia="宋体" w:cs="宋体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〕</w:t>
            </w:r>
          </w:p>
        </w:tc>
        <w:tc>
          <w:tcPr>
            <w:tcW w:w="87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7" w:hRule="atLeast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畜禽养殖机械化率（%）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〕</w:t>
            </w:r>
          </w:p>
        </w:tc>
        <w:tc>
          <w:tcPr>
            <w:tcW w:w="87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5" w:hRule="atLeast"/>
        </w:trPr>
        <w:tc>
          <w:tcPr>
            <w:tcW w:w="113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水产养殖机械化（%）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〕</w:t>
            </w:r>
          </w:p>
        </w:tc>
        <w:tc>
          <w:tcPr>
            <w:tcW w:w="87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4" w:hRule="atLeast"/>
        </w:trPr>
        <w:tc>
          <w:tcPr>
            <w:tcW w:w="113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农业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资源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环境</w:t>
            </w:r>
          </w:p>
        </w:tc>
        <w:tc>
          <w:tcPr>
            <w:tcW w:w="344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主要农作物化肥利用率（%）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〕</w:t>
            </w:r>
          </w:p>
        </w:tc>
        <w:tc>
          <w:tcPr>
            <w:tcW w:w="87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92" w:hRule="atLeast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主要农作物农药利用率（%）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〕</w:t>
            </w:r>
          </w:p>
        </w:tc>
        <w:tc>
          <w:tcPr>
            <w:tcW w:w="87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53"/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0" w:hRule="atLeast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畜禽粪污综合利用率（%）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&gt;75</w:t>
            </w:r>
          </w:p>
        </w:tc>
        <w:tc>
          <w:tcPr>
            <w:tcW w:w="8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&gt;80</w:t>
            </w:r>
          </w:p>
        </w:tc>
        <w:tc>
          <w:tcPr>
            <w:tcW w:w="11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〕</w:t>
            </w:r>
          </w:p>
        </w:tc>
        <w:tc>
          <w:tcPr>
            <w:tcW w:w="87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约束性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51" w:hRule="atLeast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农作物秸秆综合利用率（%）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&gt;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1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2" w:hRule="atLeast"/>
        </w:trPr>
        <w:tc>
          <w:tcPr>
            <w:tcW w:w="113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农膜回收率（%）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&gt;80</w:t>
            </w:r>
          </w:p>
        </w:tc>
        <w:tc>
          <w:tcPr>
            <w:tcW w:w="8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〕</w:t>
            </w:r>
          </w:p>
        </w:tc>
        <w:tc>
          <w:tcPr>
            <w:tcW w:w="87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预期性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6" w:hRule="atLeast"/>
        </w:trPr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农产品加工</w:t>
            </w:r>
          </w:p>
        </w:tc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主要农产品加工转化率（%）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〕</w:t>
            </w:r>
          </w:p>
        </w:tc>
        <w:tc>
          <w:tcPr>
            <w:tcW w:w="87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预期性</w:t>
            </w: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300" w:lineRule="atLeast"/>
        <w:ind w:firstLine="240" w:firstLineChars="100"/>
        <w:textAlignment w:val="auto"/>
        <w:outlineLvl w:val="9"/>
      </w:pPr>
      <w:bookmarkStart w:id="91" w:name="_Toc31503"/>
      <w:bookmarkStart w:id="92" w:name="_Toc9701"/>
      <w:bookmarkStart w:id="93" w:name="_Toc22894"/>
      <w:bookmarkStart w:id="94" w:name="_Toc5796"/>
      <w:r>
        <w:rPr>
          <w:rFonts w:hint="eastAsia" w:ascii="方正楷体_GBK" w:hAnsi="方正楷体_GBK" w:eastAsia="方正楷体_GBK" w:cs="方正楷体_GBK"/>
          <w:smallCaps/>
          <w:color w:val="000000"/>
          <w:kern w:val="2"/>
          <w:sz w:val="24"/>
          <w:szCs w:val="24"/>
        </w:rPr>
        <w:t>注：</w:t>
      </w:r>
      <w:r>
        <w:rPr>
          <w:rFonts w:hint="eastAsia" w:ascii="Times New Roman" w:hAnsi="Times New Roman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〔〕</w:t>
      </w:r>
      <w:r>
        <w:rPr>
          <w:rFonts w:hint="eastAsia" w:ascii="方正楷体_GBK" w:hAnsi="方正楷体_GBK" w:eastAsia="方正楷体_GBK" w:cs="方正楷体_GBK"/>
          <w:smallCaps/>
          <w:color w:val="000000"/>
          <w:kern w:val="2"/>
          <w:sz w:val="24"/>
          <w:szCs w:val="24"/>
        </w:rPr>
        <w:t>内为5年累计数</w:t>
      </w:r>
      <w:bookmarkEnd w:id="91"/>
      <w:bookmarkEnd w:id="92"/>
      <w:bookmarkEnd w:id="93"/>
      <w:bookmarkEnd w:id="94"/>
    </w:p>
    <w:p>
      <w:pPr>
        <w:pStyle w:val="11"/>
      </w:pPr>
    </w:p>
    <w:p>
      <w:pPr>
        <w:pStyle w:val="4"/>
        <w:pageBreakBefore w:val="0"/>
        <w:numPr>
          <w:ilvl w:val="0"/>
          <w:numId w:val="0"/>
        </w:numPr>
        <w:kinsoku/>
        <w:overflowPunct/>
        <w:topLinePunct w:val="0"/>
        <w:bidi w:val="0"/>
        <w:spacing w:before="0" w:after="0" w:line="60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95" w:name="_Toc27034"/>
      <w:bookmarkStart w:id="96" w:name="_Toc30305"/>
      <w:bookmarkStart w:id="97" w:name="_Toc884482521_WPSOffice_Level1"/>
      <w:bookmarkStart w:id="98" w:name="_Toc25750"/>
      <w:bookmarkStart w:id="99" w:name="_Toc20633"/>
      <w:bookmarkStart w:id="100" w:name="_Toc31132"/>
    </w:p>
    <w:p>
      <w:pPr>
        <w:pStyle w:val="4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主要任务</w:t>
      </w:r>
      <w:bookmarkEnd w:id="95"/>
      <w:bookmarkEnd w:id="96"/>
      <w:bookmarkEnd w:id="97"/>
      <w:bookmarkEnd w:id="98"/>
      <w:bookmarkEnd w:id="99"/>
      <w:bookmarkEnd w:id="100"/>
      <w:bookmarkStart w:id="101" w:name="_Toc216"/>
    </w:p>
    <w:p>
      <w:pPr>
        <w:pStyle w:val="2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  <w:t>聚焦稳粮保供与特优产业转型升级科技需求，构建农业科技创新与成果转化新机制，为全省农业农村高质量发展注入强劲动能。</w:t>
      </w:r>
    </w:p>
    <w:p>
      <w:pPr>
        <w:pStyle w:val="2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80" w:lineRule="exact"/>
        <w:ind w:right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102" w:name="_Toc24324"/>
      <w:bookmarkStart w:id="103" w:name="_Toc13425"/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（一）提升农业农村科技创新能力</w:t>
      </w:r>
      <w:bookmarkEnd w:id="102"/>
      <w:bookmarkEnd w:id="103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  </w:t>
      </w:r>
    </w:p>
    <w:p>
      <w:pPr>
        <w:pStyle w:val="2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80" w:lineRule="exact"/>
        <w:ind w:right="0" w:firstLine="64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smallCaps/>
          <w:kern w:val="2"/>
          <w:sz w:val="32"/>
          <w:szCs w:val="32"/>
          <w:lang w:val="en-US" w:eastAsia="zh-CN" w:bidi="ar-SA"/>
        </w:rPr>
        <w:t>1.建设晋中国家农高区（太谷国家农业科创中心）。</w:t>
      </w:r>
      <w:r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  <w:t xml:space="preserve">贯彻落实省委省政府关于统筹推进晋中国家农高区、太谷国家农业科创中心建设的决策部署，共建省部有机旱作农业重点实验室、黄土高原特色作物优质高效生产协同创新中心、功能农业重点实验室等一批国家级农业科技创新平台，在有机旱作、特色农业绿色栽培、特色杂粮提质增效、功能食品创制等关键技术领域取得突破。发挥神农科技集团等农业科技企业创新主体作用，加快科技成果转化应用。大力培育引进高新技术企业，吸纳培养科研人才投身农高区建设，提升晋中国家农高区（太谷国家农业科创中心）专业化、国际化水平。                                                               </w:t>
      </w:r>
      <w:r>
        <w:rPr>
          <w:rFonts w:hint="eastAsia" w:ascii="方正仿宋_GBK" w:hAnsi="方正仿宋_GBK" w:eastAsia="方正仿宋_GBK" w:cs="方正仿宋_GBK"/>
          <w:b/>
          <w:bCs/>
          <w:smallCaps/>
          <w:kern w:val="2"/>
          <w:sz w:val="32"/>
          <w:szCs w:val="32"/>
          <w:lang w:val="en-US" w:eastAsia="zh-CN" w:bidi="ar-SA"/>
        </w:rPr>
        <w:t xml:space="preserve">  2.建设农业科技创新平台。</w:t>
      </w:r>
      <w:r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  <w:t>建设农业农村部盐碱土改良与利用（干旱半干旱区盐碱地）、饲草高效生产模式创新重点实验室，黄土高原功能农业、黄土高原特色杂粮公共研发中心，建设科学试验基地、国家观测实验站等一批科研平台，开展重点领域创新性研究。支持作物种质资源库（圃）、畜禽水产种质资源保种场（区）、杂粮种质创新与分子育种省重点实验室等高水平生物育种平台建设，做大做强种业科技。支持中兽医药现代化省重点实验室、农业废弃物资源化利用中心等省级创新平台建设。</w:t>
      </w:r>
    </w:p>
    <w:p>
      <w:pPr>
        <w:pStyle w:val="2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80" w:lineRule="exact"/>
        <w:ind w:right="0" w:firstLine="64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smallCaps/>
          <w:kern w:val="2"/>
          <w:sz w:val="32"/>
          <w:szCs w:val="32"/>
          <w:lang w:val="en-US" w:eastAsia="zh-CN" w:bidi="ar-SA"/>
        </w:rPr>
        <w:t>3.建设国家一流研究应用型高校。</w:t>
      </w:r>
      <w:r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  <w:t xml:space="preserve">支持山西农业大学（省农科院）等涉农高校应用基础研究主力军和关键核心技术突破生力军作用，开展农业应用基础研究、应用技术研究和重要产品研发。围绕全产业链强化跨学科协同， 组建联合实验室和实验室联盟，拓展农业科研力量。          </w:t>
      </w:r>
    </w:p>
    <w:p>
      <w:pPr>
        <w:pStyle w:val="2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80" w:lineRule="exact"/>
        <w:ind w:right="0" w:firstLine="64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smallCaps/>
          <w:kern w:val="2"/>
          <w:sz w:val="32"/>
          <w:szCs w:val="32"/>
          <w:lang w:val="en-US" w:eastAsia="zh-CN" w:bidi="ar-SA"/>
        </w:rPr>
        <w:t>4.强化企业创新主体地位。</w:t>
      </w:r>
      <w:r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  <w:t xml:space="preserve"> 构建以企业为核心、产学研紧密结合的协同创新格局。围绕现代种业、现代农机装备、营养健康食品开发与保鲜物流等农业主导产业和战略性新兴产业，遴选推介100个涉农高新技术企业。支持“链主”企业建立高水平研发机构。鼓励中小企业与“链主”企业协作配套，促进技术成果规模化应用。 推动农业研发创新向产业链后道拓展，实现农业全产业链提质增效。</w:t>
      </w:r>
    </w:p>
    <w:bookmarkEnd w:id="101"/>
    <w:p>
      <w:pPr>
        <w:pStyle w:val="2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80" w:lineRule="exact"/>
        <w:ind w:right="0" w:firstLine="642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mallCaps/>
          <w:kern w:val="2"/>
          <w:sz w:val="32"/>
          <w:szCs w:val="32"/>
          <w:lang w:val="en-US" w:eastAsia="zh-CN" w:bidi="ar-SA"/>
        </w:rPr>
      </w:pPr>
      <w:bookmarkStart w:id="104" w:name="_Toc2190"/>
      <w:bookmarkStart w:id="105" w:name="_Toc25463"/>
      <w:r>
        <w:rPr>
          <w:rFonts w:hint="eastAsia" w:ascii="方正楷体_GBK" w:hAnsi="方正楷体_GBK" w:eastAsia="方正楷体_GBK" w:cs="方正楷体_GBK"/>
          <w:b/>
          <w:bCs/>
          <w:smallCaps/>
          <w:kern w:val="2"/>
          <w:sz w:val="32"/>
          <w:szCs w:val="32"/>
          <w:lang w:val="en-US" w:eastAsia="zh-CN" w:bidi="ar-SA"/>
        </w:rPr>
        <w:t>（二）优化农业农村科技创新体系</w:t>
      </w:r>
      <w:bookmarkEnd w:id="104"/>
      <w:bookmarkEnd w:id="105"/>
    </w:p>
    <w:p>
      <w:pPr>
        <w:pStyle w:val="2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80" w:lineRule="exact"/>
        <w:ind w:right="0" w:firstLine="642" w:firstLineChars="200"/>
        <w:jc w:val="both"/>
        <w:textAlignment w:val="auto"/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smallCaps/>
          <w:kern w:val="2"/>
          <w:sz w:val="32"/>
          <w:szCs w:val="32"/>
          <w:lang w:val="en-US" w:eastAsia="zh-CN" w:bidi="ar-SA"/>
        </w:rPr>
        <w:t>1.重塑现代农业产业技术体系。</w:t>
      </w:r>
      <w:r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  <w:t>加强玉米、小麦、杂粮、谷子、油料、马铃薯、果树、蔬菜、食用菌、中药材（药茶）、猪、鸡、牛、羊、渔业、牧草、功能食品等 17 个省级现代农业产业技术体系建设，在中国家农高区（太谷国家农业科创中心）布局首席专家工作室。支持体系开展全产业链技术攻关和集成示范。依托山西农业大学（省农科院）与推广机构、涉农科技企业组建种业创新、耕地资源利用与保护、绿色低碳、智慧农业、产业经济等 5 个重要共性技术创新团队,加强体系间有效衔接。</w:t>
      </w:r>
    </w:p>
    <w:p>
      <w:pPr>
        <w:pStyle w:val="2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80" w:lineRule="exact"/>
        <w:ind w:right="0" w:firstLine="642" w:firstLineChars="200"/>
        <w:jc w:val="both"/>
        <w:textAlignment w:val="auto"/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smallCaps/>
          <w:kern w:val="2"/>
          <w:sz w:val="32"/>
          <w:szCs w:val="32"/>
          <w:lang w:val="en-US" w:eastAsia="zh-CN" w:bidi="ar-SA"/>
        </w:rPr>
        <w:t>2.加强农业技术推广体系。</w:t>
      </w:r>
      <w:r>
        <w:rPr>
          <w:rFonts w:hint="eastAsia" w:ascii="方正仿宋_GBK" w:hAnsi="方正仿宋_GBK" w:eastAsia="方正仿宋_GBK" w:cs="方正仿宋_GBK"/>
          <w:b w:val="0"/>
          <w:bCs w:val="0"/>
          <w:smallCaps/>
          <w:kern w:val="2"/>
          <w:sz w:val="32"/>
          <w:szCs w:val="32"/>
          <w:lang w:val="en-US" w:eastAsia="zh-CN" w:bidi="ar-SA"/>
        </w:rPr>
        <w:t>完善</w:t>
      </w:r>
      <w:r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  <w:t>以公益性农技推广机构为主体,市场化服务力量为重要补充,高等院校、科研机构等广泛参与、分工协作、充满活力的农技推广体系。</w:t>
      </w:r>
      <w:r>
        <w:rPr>
          <w:rFonts w:hint="eastAsia" w:ascii="方正仿宋_GBK" w:hAnsi="方正仿宋_GBK" w:eastAsia="方正仿宋_GBK" w:cs="方正仿宋_GBK"/>
          <w:b/>
          <w:bCs/>
          <w:smallCaps/>
          <w:kern w:val="2"/>
          <w:sz w:val="32"/>
          <w:szCs w:val="32"/>
          <w:lang w:val="en-US" w:eastAsia="zh-CN" w:bidi="ar-SA"/>
        </w:rPr>
        <w:t>强化农技推广机构履行公益性职责。</w:t>
      </w:r>
      <w:r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  <w:t xml:space="preserve">用好基层农技推广体系改革与建设补助项目，支持农技推广机构开展关键适用技术试验示范、动植物疫病监测防控、农业防灾减灾等工作，创建农业科技示范展示基地，培育示范主体，集成推广引领性技术、主推技术。 </w:t>
      </w:r>
      <w:r>
        <w:rPr>
          <w:rFonts w:hint="eastAsia" w:ascii="方正仿宋_GBK" w:hAnsi="方正仿宋_GBK" w:eastAsia="方正仿宋_GBK" w:cs="方正仿宋_GBK"/>
          <w:b/>
          <w:bCs/>
          <w:smallCaps/>
          <w:kern w:val="2"/>
          <w:sz w:val="32"/>
          <w:szCs w:val="32"/>
          <w:lang w:val="en-US" w:eastAsia="zh-CN" w:bidi="ar-SA"/>
        </w:rPr>
        <w:t>释放高校与科研院所服务动能。</w:t>
      </w:r>
      <w:r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  <w:t>完善高校和科研院所农业科技服务考核机制，将服务“三农”和科技成果转移转化成效作为学科评估、人才评价和项目资助重要依据</w:t>
      </w:r>
      <w:r>
        <w:rPr>
          <w:rFonts w:hint="eastAsia" w:ascii="方正仿宋_GBK" w:hAnsi="方正仿宋_GBK" w:eastAsia="方正仿宋_GBK" w:cs="方正仿宋_GBK"/>
          <w:smallCaps/>
          <w:color w:val="FF00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  <w:t>依托产业技术体系，实施好农业重大技术协同推广计划。</w:t>
      </w:r>
      <w:r>
        <w:rPr>
          <w:rFonts w:hint="eastAsia" w:ascii="方正仿宋_GBK" w:hAnsi="方正仿宋_GBK" w:eastAsia="方正仿宋_GBK" w:cs="方正仿宋_GBK"/>
          <w:b/>
          <w:bCs/>
          <w:smallCaps/>
          <w:kern w:val="2"/>
          <w:sz w:val="32"/>
          <w:szCs w:val="32"/>
          <w:lang w:val="en-US" w:eastAsia="zh-CN" w:bidi="ar-SA"/>
        </w:rPr>
        <w:t>壮大社会化科技服务力量。</w:t>
      </w:r>
      <w:r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  <w:t xml:space="preserve">支持社会化农业科技服务力量承担可量化、易监管的农技服务，培育一批专业化、社会化农业科技服务公司，创新“技物结合”“技术托管”“线上服务+线下推广”等服务模式。全面实施农技推广服务特聘计划。     </w:t>
      </w:r>
      <w:bookmarkStart w:id="106" w:name="_Toc11836"/>
      <w:bookmarkStart w:id="107" w:name="_Toc22850"/>
      <w:bookmarkStart w:id="108" w:name="_Toc5615"/>
      <w:r>
        <w:rPr>
          <w:rFonts w:hint="eastAsia" w:ascii="方正仿宋_GBK" w:hAnsi="方正仿宋_GBK" w:eastAsia="方正仿宋_GBK" w:cs="方正仿宋_GBK"/>
          <w:b/>
          <w:bCs/>
          <w:smallCaps/>
          <w:kern w:val="2"/>
          <w:sz w:val="32"/>
          <w:szCs w:val="32"/>
          <w:lang w:val="en-US" w:eastAsia="zh-CN" w:bidi="ar-SA"/>
        </w:rPr>
        <w:t>3.健全高素质农民培育体</w:t>
      </w:r>
      <w:bookmarkEnd w:id="106"/>
      <w:bookmarkEnd w:id="107"/>
      <w:bookmarkEnd w:id="108"/>
      <w:r>
        <w:rPr>
          <w:rFonts w:hint="eastAsia" w:ascii="方正仿宋_GBK" w:hAnsi="方正仿宋_GBK" w:eastAsia="方正仿宋_GBK" w:cs="方正仿宋_GBK"/>
          <w:b/>
          <w:bCs/>
          <w:smallCaps/>
          <w:kern w:val="2"/>
          <w:sz w:val="32"/>
          <w:szCs w:val="32"/>
          <w:lang w:val="en-US" w:eastAsia="zh-CN" w:bidi="ar-SA"/>
        </w:rPr>
        <w:t>系。</w:t>
      </w:r>
      <w:r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  <w:t>构建公益性机构和社会资源各展所长、优势互补的农民教育培训体系。发挥涉农院校、农技推广机构等公益教育培训机构作用，吸引农业龙头企业、农民合作社等市场主体积极参与，服务农民多元化、多层次教育培训需求,推动形成短期培训、职业培训和学历教育相互衔接的高素质农民培育新格局，促进不同阶段学习成果互认互通, 推介一批乡村振兴人才培养优质校。建立由涉农部门、院校的专家教授、农技推广人员、乡土人才等组成的师资队伍，建立授课效果考核评价机制。</w:t>
      </w:r>
    </w:p>
    <w:p>
      <w:pPr>
        <w:pStyle w:val="2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8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方正仿宋_GBK" w:hAnsi="方正仿宋_GBK" w:eastAsia="方正仿宋_GBK" w:cs="方正仿宋_GBK"/>
          <w:b/>
          <w:bCs/>
          <w:smallCaps/>
          <w:kern w:val="2"/>
          <w:sz w:val="32"/>
          <w:szCs w:val="32"/>
          <w:lang w:val="en-US" w:eastAsia="zh-CN" w:bidi="ar-SA"/>
        </w:rPr>
        <w:t>构建农业科普体系。</w:t>
      </w:r>
      <w:r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  <w:t>建立健全农业农村科普制度体系,强化知识产权保护,加大宣传普及力度,提高民众科学文化素质。</w:t>
      </w:r>
      <w:r>
        <w:rPr>
          <w:rFonts w:hint="eastAsia" w:ascii="方正仿宋_GBK" w:hAnsi="方正仿宋_GBK" w:eastAsia="方正仿宋_GBK" w:cs="方正仿宋_GBK"/>
          <w:b/>
          <w:bCs/>
          <w:smallCaps/>
          <w:kern w:val="2"/>
          <w:sz w:val="32"/>
          <w:szCs w:val="32"/>
          <w:lang w:val="en-US" w:eastAsia="zh-CN" w:bidi="ar-SA"/>
        </w:rPr>
        <w:t>建设科普阵地。</w:t>
      </w:r>
      <w:r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  <w:t>充分发挥涉农高校、科研院所和企业农业科普主阵地的作用,引导和鼓励科技人员开展各种形式科普工作和志愿服务。</w:t>
      </w:r>
      <w:r>
        <w:rPr>
          <w:rFonts w:hint="eastAsia" w:ascii="方正仿宋_GBK" w:hAnsi="方正仿宋_GBK" w:eastAsia="方正仿宋_GBK" w:cs="方正仿宋_GBK"/>
          <w:b/>
          <w:bCs/>
          <w:smallCaps/>
          <w:kern w:val="2"/>
          <w:sz w:val="32"/>
          <w:szCs w:val="32"/>
          <w:lang w:val="en-US" w:eastAsia="zh-CN" w:bidi="ar-SA"/>
        </w:rPr>
        <w:t>突出应用科普。</w:t>
      </w:r>
      <w:r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  <w:t xml:space="preserve">着力建设宣传部门与农业农村部门协同、线上与线下互动、主流媒体与新媒体联动的生物育种、生物安全科普体系，加强生物育种与生物技术应用科学普及。  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80" w:lineRule="exact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mallCaps/>
          <w:kern w:val="2"/>
          <w:sz w:val="32"/>
          <w:szCs w:val="32"/>
          <w:lang w:val="en-US" w:eastAsia="zh-CN" w:bidi="ar-SA"/>
        </w:rPr>
      </w:pPr>
      <w:bookmarkStart w:id="109" w:name="_Toc1413"/>
      <w:bookmarkStart w:id="110" w:name="_Toc25335"/>
      <w:bookmarkStart w:id="111" w:name="_Toc12426"/>
      <w:bookmarkStart w:id="112" w:name="_Toc7475"/>
      <w:bookmarkStart w:id="113" w:name="_Toc18601"/>
      <w:r>
        <w:rPr>
          <w:rFonts w:hint="eastAsia" w:ascii="方正楷体_GBK" w:hAnsi="方正楷体_GBK" w:eastAsia="方正楷体_GBK" w:cs="方正楷体_GBK"/>
          <w:b/>
          <w:bCs/>
          <w:smallCaps/>
          <w:kern w:val="2"/>
          <w:sz w:val="32"/>
          <w:szCs w:val="32"/>
          <w:lang w:val="en-US" w:eastAsia="zh-CN" w:bidi="ar-SA"/>
        </w:rPr>
        <w:t>（三）培育农业农村科技人才队伍</w:t>
      </w:r>
      <w:bookmarkEnd w:id="109"/>
      <w:bookmarkEnd w:id="110"/>
      <w:bookmarkEnd w:id="111"/>
      <w:bookmarkEnd w:id="112"/>
      <w:bookmarkEnd w:id="113"/>
      <w:r>
        <w:rPr>
          <w:rFonts w:hint="eastAsia" w:ascii="方正楷体_GBK" w:hAnsi="方正楷体_GBK" w:eastAsia="方正楷体_GBK" w:cs="方正楷体_GBK"/>
          <w:b/>
          <w:bCs/>
          <w:smallCaps/>
          <w:kern w:val="2"/>
          <w:sz w:val="32"/>
          <w:szCs w:val="32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b/>
          <w:bCs/>
          <w:smallCaps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8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  <w:t>全面加强农业农村科技人才队伍建设，扩大人才队伍规模，提升人才队伍素质能力，分层分类打造科研攻关人才队伍、农技推广人才队伍和高素质农民队伍。</w:t>
      </w:r>
    </w:p>
    <w:p>
      <w:pPr>
        <w:pStyle w:val="18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60" w:line="58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/>
          <w:bCs/>
          <w:lang w:val="en-US" w:eastAsia="zh-CN"/>
        </w:rPr>
        <w:t>1.培育</w:t>
      </w:r>
      <w:r>
        <w:rPr>
          <w:rFonts w:hint="eastAsia" w:ascii="方正仿宋_GBK" w:hAnsi="方正仿宋_GBK" w:eastAsia="方正仿宋_GBK" w:cs="方正仿宋_GBK"/>
          <w:b/>
          <w:bCs/>
        </w:rPr>
        <w:t>农业科研人才队伍。</w:t>
      </w:r>
      <w:r>
        <w:rPr>
          <w:rFonts w:hint="eastAsia" w:ascii="方正仿宋_GBK" w:hAnsi="方正仿宋_GBK" w:eastAsia="方正仿宋_GBK" w:cs="方正仿宋_GBK"/>
        </w:rPr>
        <w:t>以农业科研教学人员为重点，发挥重点实验室、现代农业产业技术体系等平台作用，培养能够解决“稳产、 保供、解卡、防风险、绿色转型”等产业难题的农业领军人才和创新团队。以农业产业化龙头企业科技人才为重点，支持开展农业商业化育种、农药、兽药、肥料、饲料、农机装备、农产品加工等领域的技术创新</w:t>
      </w:r>
      <w:r>
        <w:rPr>
          <w:rFonts w:hint="eastAsia" w:ascii="方正仿宋_GBK" w:hAnsi="方正仿宋_GBK" w:eastAsia="方正仿宋_GBK" w:cs="方正仿宋_GBK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</w:rPr>
        <w:t>大力培育农业企业拔尖人才队伍。</w:t>
      </w:r>
    </w:p>
    <w:p>
      <w:pPr>
        <w:pStyle w:val="18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60" w:line="58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/>
          <w:bCs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</w:rPr>
        <w:t>.</w:t>
      </w:r>
      <w:r>
        <w:rPr>
          <w:rFonts w:hint="eastAsia" w:ascii="方正仿宋_GBK" w:hAnsi="方正仿宋_GBK" w:eastAsia="方正仿宋_GBK" w:cs="方正仿宋_GBK"/>
          <w:b/>
          <w:bCs/>
          <w:lang w:val="en-US" w:eastAsia="zh-CN"/>
        </w:rPr>
        <w:t>培育</w:t>
      </w:r>
      <w:r>
        <w:rPr>
          <w:rFonts w:hint="eastAsia" w:ascii="方正仿宋_GBK" w:hAnsi="方正仿宋_GBK" w:eastAsia="方正仿宋_GBK" w:cs="方正仿宋_GBK"/>
          <w:b/>
          <w:bCs/>
        </w:rPr>
        <w:t>农技推广人才队伍。</w:t>
      </w:r>
      <w:r>
        <w:rPr>
          <w:rFonts w:hint="eastAsia" w:ascii="方正仿宋_GBK" w:hAnsi="方正仿宋_GBK" w:eastAsia="方正仿宋_GBK" w:cs="方正仿宋_GBK"/>
        </w:rPr>
        <w:t>以充实一线、强化服务为重点，加强农技推广人才队伍建设。</w:t>
      </w:r>
      <w:r>
        <w:rPr>
          <w:rFonts w:hint="eastAsia" w:ascii="方正仿宋_GBK" w:hAnsi="方正仿宋_GBK" w:eastAsia="方正仿宋_GBK" w:cs="方正仿宋_GBK"/>
          <w:lang w:val="en-US" w:eastAsia="zh-CN"/>
        </w:rPr>
        <w:t>依托</w:t>
      </w:r>
      <w:r>
        <w:rPr>
          <w:rFonts w:hint="eastAsia" w:ascii="方正仿宋_GBK" w:hAnsi="方正仿宋_GBK" w:eastAsia="方正仿宋_GBK" w:cs="方正仿宋_GBK"/>
        </w:rPr>
        <w:t>基层农技推广体系改革与建设补助</w:t>
      </w:r>
      <w:r>
        <w:rPr>
          <w:rFonts w:hint="eastAsia" w:ascii="方正仿宋_GBK" w:hAnsi="方正仿宋_GBK" w:eastAsia="方正仿宋_GBK" w:cs="方正仿宋_GBK"/>
          <w:lang w:val="en-US" w:eastAsia="zh-CN"/>
        </w:rPr>
        <w:t>项目，</w:t>
      </w:r>
      <w:r>
        <w:rPr>
          <w:rFonts w:hint="eastAsia" w:ascii="方正仿宋_GBK" w:hAnsi="方正仿宋_GBK" w:eastAsia="方正仿宋_GBK" w:cs="方正仿宋_GBK"/>
          <w:bCs/>
          <w:color w:val="000000"/>
        </w:rPr>
        <w:t>实施基层农技人员素质提升工程。</w:t>
      </w:r>
      <w:r>
        <w:rPr>
          <w:rFonts w:hint="eastAsia" w:ascii="方正仿宋_GBK" w:hAnsi="方正仿宋_GBK" w:eastAsia="方正仿宋_GBK" w:cs="方正仿宋_GBK"/>
          <w:bCs/>
          <w:color w:val="000000"/>
          <w:lang w:val="en-US" w:eastAsia="zh-CN"/>
        </w:rPr>
        <w:t>培养公费农科生，</w:t>
      </w:r>
      <w:r>
        <w:rPr>
          <w:rFonts w:hint="eastAsia" w:ascii="方正仿宋_GBK" w:hAnsi="方正仿宋_GBK" w:eastAsia="方正仿宋_GBK" w:cs="方正仿宋_GBK"/>
          <w:bCs/>
          <w:color w:val="000000"/>
        </w:rPr>
        <w:t>通过“定向招生、定向培养、定向就业”</w:t>
      </w:r>
      <w:r>
        <w:rPr>
          <w:rFonts w:hint="eastAsia" w:ascii="方正仿宋_GBK" w:hAnsi="方正仿宋_GBK" w:eastAsia="方正仿宋_GBK" w:cs="方正仿宋_GBK"/>
          <w:bCs/>
          <w:color w:val="000000"/>
          <w:lang w:eastAsia="zh-CN"/>
        </w:rPr>
        <w:t>，引进高校毕业</w:t>
      </w:r>
      <w:r>
        <w:rPr>
          <w:rFonts w:hint="eastAsia" w:ascii="方正仿宋_GBK" w:hAnsi="方正仿宋_GBK" w:eastAsia="方正仿宋_GBK" w:cs="方正仿宋_GBK"/>
          <w:bCs/>
          <w:color w:val="000000"/>
          <w:lang w:val="en-US" w:eastAsia="zh-CN"/>
        </w:rPr>
        <w:t>生</w:t>
      </w:r>
      <w:r>
        <w:rPr>
          <w:rFonts w:hint="eastAsia" w:ascii="方正仿宋_GBK" w:hAnsi="方正仿宋_GBK" w:eastAsia="方正仿宋_GBK" w:cs="方正仿宋_GBK"/>
          <w:bCs/>
          <w:color w:val="000000"/>
          <w:lang w:eastAsia="zh-CN"/>
        </w:rPr>
        <w:t>充实</w:t>
      </w:r>
      <w:r>
        <w:rPr>
          <w:rFonts w:hint="eastAsia" w:ascii="方正仿宋_GBK" w:hAnsi="方正仿宋_GBK" w:eastAsia="方正仿宋_GBK" w:cs="方正仿宋_GBK"/>
          <w:bCs/>
          <w:color w:val="000000"/>
          <w:lang w:val="en-US" w:eastAsia="zh-CN"/>
        </w:rPr>
        <w:t>基层农技推广队伍</w:t>
      </w:r>
      <w:r>
        <w:rPr>
          <w:rFonts w:hint="eastAsia" w:ascii="方正仿宋_GBK" w:hAnsi="方正仿宋_GBK" w:eastAsia="方正仿宋_GBK" w:cs="方正仿宋_GBK"/>
          <w:bCs/>
          <w:color w:val="000000"/>
          <w:lang w:eastAsia="zh-CN"/>
        </w:rPr>
        <w:t>。加快培养一批农业社会化服务组织带头人</w:t>
      </w:r>
      <w:r>
        <w:rPr>
          <w:rFonts w:hint="eastAsia" w:ascii="方正仿宋_GBK" w:hAnsi="方正仿宋_GBK" w:eastAsia="方正仿宋_GBK" w:cs="方正仿宋_GBK"/>
          <w:bCs/>
          <w:color w:val="000000"/>
          <w:lang w:val="en-US" w:eastAsia="zh-CN"/>
        </w:rPr>
        <w:t>和技术骨干</w:t>
      </w:r>
      <w:r>
        <w:rPr>
          <w:rFonts w:hint="eastAsia" w:ascii="方正仿宋_GBK" w:hAnsi="方正仿宋_GBK" w:eastAsia="方正仿宋_GBK" w:cs="方正仿宋_GBK"/>
          <w:bCs/>
          <w:color w:val="000000"/>
          <w:lang w:eastAsia="zh-CN"/>
        </w:rPr>
        <w:t>，提升社会化服务质量和水平。</w:t>
      </w:r>
      <w:r>
        <w:rPr>
          <w:rFonts w:hint="eastAsia" w:ascii="方正仿宋_GBK" w:hAnsi="方正仿宋_GBK" w:eastAsia="方正仿宋_GBK" w:cs="方正仿宋_GBK"/>
        </w:rPr>
        <w:t>开展优秀基层农技员选树活动，激励广大农技人员积极投身农技推广事业。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160" w:line="58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b/>
          <w:bCs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/>
          <w:bCs/>
        </w:rPr>
        <w:t>.</w:t>
      </w:r>
      <w:r>
        <w:rPr>
          <w:rFonts w:hint="eastAsia" w:ascii="方正仿宋_GBK" w:hAnsi="方正仿宋_GBK" w:eastAsia="方正仿宋_GBK" w:cs="方正仿宋_GBK"/>
          <w:b/>
          <w:bCs/>
          <w:lang w:val="en-US" w:eastAsia="zh-CN"/>
        </w:rPr>
        <w:t>培育</w:t>
      </w:r>
      <w:r>
        <w:rPr>
          <w:rFonts w:hint="eastAsia" w:ascii="方正仿宋_GBK" w:hAnsi="方正仿宋_GBK" w:eastAsia="方正仿宋_GBK" w:cs="方正仿宋_GBK"/>
          <w:b/>
          <w:bCs/>
        </w:rPr>
        <w:t>高素质农民队伍。</w:t>
      </w:r>
      <w:r>
        <w:rPr>
          <w:rFonts w:hint="eastAsia" w:ascii="方正仿宋_GBK" w:hAnsi="方正仿宋_GBK" w:eastAsia="方正仿宋_GBK" w:cs="方正仿宋_GBK"/>
          <w:color w:val="000000"/>
        </w:rPr>
        <w:t>实施农业经理人、农村返乡入乡创新创业者、新型农业经营主体服务主体带头人、乡村治理及社会事业发展带头人、种养加能手及能工巧匠5项专项培训</w:t>
      </w:r>
      <w:r>
        <w:rPr>
          <w:rFonts w:hint="eastAsia" w:ascii="方正仿宋_GBK" w:hAnsi="方正仿宋_GBK" w:eastAsia="方正仿宋_GBK" w:cs="方正仿宋_GBK"/>
          <w:color w:val="000000"/>
          <w:lang w:val="en-US" w:eastAsia="zh-CN"/>
        </w:rPr>
        <w:t>计划</w:t>
      </w:r>
      <w:r>
        <w:rPr>
          <w:rFonts w:hint="eastAsia" w:ascii="方正仿宋_GBK" w:hAnsi="方正仿宋_GBK" w:eastAsia="方正仿宋_GBK" w:cs="方正仿宋_GBK"/>
          <w:color w:val="000000"/>
        </w:rPr>
        <w:t>，</w:t>
      </w:r>
      <w:r>
        <w:rPr>
          <w:rFonts w:hint="eastAsia" w:ascii="方正仿宋_GBK" w:hAnsi="方正仿宋_GBK" w:eastAsia="方正仿宋_GBK" w:cs="方正仿宋_GBK"/>
        </w:rPr>
        <w:t>培养一支有文化、懂技术、善经营、会管理的高素质农民队伍</w:t>
      </w:r>
      <w:r>
        <w:rPr>
          <w:rFonts w:hint="eastAsia" w:ascii="方正仿宋_GBK" w:hAnsi="方正仿宋_GBK" w:eastAsia="方正仿宋_GBK" w:cs="方正仿宋_GBK"/>
          <w:color w:val="000000"/>
        </w:rPr>
        <w:t>。承接国家试点任务，培训一批高素质女农民。</w:t>
      </w:r>
      <w:r>
        <w:rPr>
          <w:rFonts w:hint="eastAsia" w:ascii="方正仿宋_GBK" w:hAnsi="方正仿宋_GBK" w:eastAsia="方正仿宋_GBK" w:cs="方正仿宋_GBK"/>
          <w:color w:val="000000"/>
          <w:lang w:val="en-US" w:eastAsia="zh-CN"/>
        </w:rPr>
        <w:t>完成</w:t>
      </w:r>
      <w:r>
        <w:rPr>
          <w:rFonts w:hint="eastAsia" w:ascii="方正仿宋_GBK" w:hAnsi="方正仿宋_GBK" w:eastAsia="方正仿宋_GBK" w:cs="方正仿宋_GBK"/>
          <w:color w:val="000000"/>
        </w:rPr>
        <w:t>农业“机田证”一体化试点</w:t>
      </w:r>
      <w:r>
        <w:rPr>
          <w:rFonts w:hint="eastAsia" w:ascii="方正仿宋_GBK" w:hAnsi="方正仿宋_GBK" w:eastAsia="方正仿宋_GBK" w:cs="方正仿宋_GBK"/>
          <w:color w:val="000000"/>
          <w:lang w:val="en-US" w:eastAsia="zh-CN"/>
        </w:rPr>
        <w:t>培训任务</w:t>
      </w:r>
      <w:r>
        <w:rPr>
          <w:rFonts w:hint="eastAsia" w:ascii="方正仿宋_GBK" w:hAnsi="方正仿宋_GBK" w:eastAsia="方正仿宋_GBK" w:cs="方正仿宋_GBK"/>
          <w:color w:val="00000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</w:rPr>
        <w:t>推动“人地机”融合发展</w:t>
      </w:r>
      <w:r>
        <w:rPr>
          <w:rFonts w:hint="eastAsia" w:ascii="方正仿宋_GBK" w:hAnsi="方正仿宋_GBK" w:eastAsia="方正仿宋_GBK" w:cs="方正仿宋_GBK"/>
          <w:color w:val="000000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160" w:line="580" w:lineRule="exact"/>
        <w:ind w:firstLine="642" w:firstLineChars="200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</w:rPr>
      </w:pPr>
      <w:bookmarkStart w:id="114" w:name="_Toc30844"/>
      <w:bookmarkStart w:id="115" w:name="_Toc9774"/>
      <w:bookmarkStart w:id="116" w:name="_Toc17661"/>
      <w:bookmarkStart w:id="117" w:name="_Toc27965"/>
      <w:bookmarkStart w:id="118" w:name="_Toc26433"/>
      <w:r>
        <w:rPr>
          <w:rFonts w:hint="eastAsia" w:ascii="方正楷体_GBK" w:hAnsi="方正楷体_GBK" w:eastAsia="方正楷体_GBK" w:cs="方正楷体_GBK"/>
          <w:b/>
          <w:bCs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/>
          <w:bCs/>
          <w:lang w:val="en-US" w:eastAsia="zh-CN"/>
        </w:rPr>
        <w:t>四</w:t>
      </w:r>
      <w:r>
        <w:rPr>
          <w:rFonts w:hint="eastAsia" w:ascii="方正楷体_GBK" w:hAnsi="方正楷体_GBK" w:eastAsia="方正楷体_GBK" w:cs="方正楷体_GBK"/>
          <w:b/>
          <w:bCs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/>
          <w:bCs/>
        </w:rPr>
        <w:t>创新农业</w:t>
      </w:r>
      <w:r>
        <w:rPr>
          <w:rFonts w:hint="eastAsia" w:ascii="方正楷体_GBK" w:hAnsi="方正楷体_GBK" w:eastAsia="方正楷体_GBK" w:cs="方正楷体_GBK"/>
          <w:b/>
          <w:bCs/>
          <w:lang w:val="en-US" w:eastAsia="zh-CN"/>
        </w:rPr>
        <w:t>农村</w:t>
      </w:r>
      <w:r>
        <w:rPr>
          <w:rFonts w:hint="eastAsia" w:ascii="方正楷体_GBK" w:hAnsi="方正楷体_GBK" w:eastAsia="方正楷体_GBK" w:cs="方正楷体_GBK"/>
          <w:b/>
          <w:bCs/>
        </w:rPr>
        <w:t>科技</w:t>
      </w:r>
      <w:r>
        <w:rPr>
          <w:rFonts w:hint="eastAsia" w:ascii="方正楷体_GBK" w:hAnsi="方正楷体_GBK" w:eastAsia="方正楷体_GBK" w:cs="方正楷体_GBK"/>
          <w:b/>
          <w:bCs/>
          <w:lang w:val="en-US" w:eastAsia="zh-CN"/>
        </w:rPr>
        <w:t>体制</w:t>
      </w:r>
      <w:r>
        <w:rPr>
          <w:rFonts w:hint="eastAsia" w:ascii="方正楷体_GBK" w:hAnsi="方正楷体_GBK" w:eastAsia="方正楷体_GBK" w:cs="方正楷体_GBK"/>
          <w:b/>
          <w:bCs/>
        </w:rPr>
        <w:t>机制</w:t>
      </w:r>
      <w:bookmarkEnd w:id="114"/>
      <w:bookmarkEnd w:id="115"/>
      <w:bookmarkEnd w:id="116"/>
      <w:bookmarkEnd w:id="117"/>
      <w:bookmarkEnd w:id="118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160"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以推动产学研深度融合为目标,以激发农业科技人员积极性创造性为核心,全面激发创新创业活力。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60" w:line="58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1.激励农业科研创新。建立协同创新机制。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推进农业科研资源、平台、信息等开放共享,建立健全产业需求导向、任务目标带动、平台资源共享、激励相容约束的农业科研长效协同创新机制。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建立人才流动绿色通道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。引导农业科技人员到企业兼职兼薪、领办创办企业等,推动相关奖励和激励政策落地落实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。完善分类评价机制。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构建以技术研发创新度、产业需求关联度、产业发展贡献度为导向的分类评价制度。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完善知识产权保护机制,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加强关键领域农业知识产权创造和储备,整体提升农业知识产权质量。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580" w:lineRule="exact"/>
        <w:ind w:firstLine="832" w:firstLineChars="259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/>
          <w:bCs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</w:rPr>
        <w:t>.深化推广体系改革。</w:t>
      </w:r>
      <w:r>
        <w:rPr>
          <w:rFonts w:hint="eastAsia" w:ascii="方正仿宋_GBK" w:hAnsi="方正仿宋_GBK" w:eastAsia="方正仿宋_GBK" w:cs="方正仿宋_GBK"/>
        </w:rPr>
        <w:t>落实《关于全省农技农经农机“三支队伍”改革指导意见》（晋编办字〔2021〕161号）精神，构建形成有机衔接行政决策、有力承接上级要求、有效对接市场需求的农技推广新格局。推动规范设置农技推广中心、畜牧兽医服务中心等农技推广机构，承担公益性服务职能。推动乡镇分专业设置农技、畜牧兽医等农技服务专岗，承接农业农村公益性服务职责。乡镇专岗专人</w:t>
      </w:r>
      <w:r>
        <w:rPr>
          <w:rFonts w:hint="eastAsia" w:ascii="方正仿宋_GBK" w:hAnsi="方正仿宋_GBK" w:eastAsia="方正仿宋_GBK" w:cs="方正仿宋_GBK"/>
          <w:lang w:eastAsia="zh-CN"/>
        </w:rPr>
        <w:t>员</w:t>
      </w:r>
      <w:r>
        <w:rPr>
          <w:rFonts w:hint="eastAsia" w:ascii="方正仿宋_GBK" w:hAnsi="方正仿宋_GBK" w:eastAsia="方正仿宋_GBK" w:cs="方正仿宋_GBK"/>
        </w:rPr>
        <w:t>纳入基层农技推广体系，接受上级农业农村部门业务指导。</w:t>
      </w:r>
      <w:r>
        <w:rPr>
          <w:rFonts w:hint="eastAsia" w:ascii="方正仿宋_GBK" w:hAnsi="方正仿宋_GBK" w:eastAsia="方正仿宋_GBK" w:cs="方正仿宋_GBK"/>
          <w:lang w:val="en-US" w:eastAsia="zh-CN"/>
        </w:rPr>
        <w:t>鼓励</w:t>
      </w:r>
      <w:r>
        <w:rPr>
          <w:rFonts w:hint="eastAsia" w:ascii="方正仿宋_GBK" w:hAnsi="方正仿宋_GBK" w:eastAsia="方正仿宋_GBK" w:cs="方正仿宋_GBK"/>
        </w:rPr>
        <w:t xml:space="preserve">农业科研教学人员深入基层一线开展农技推广服务。培育壮大市场化服务主体，支持政府购买农技服务。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580" w:lineRule="exact"/>
        <w:ind w:firstLine="642" w:firstLineChars="200"/>
        <w:jc w:val="both"/>
        <w:textAlignment w:val="auto"/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/>
          <w:bCs/>
        </w:rPr>
        <w:t>.</w:t>
      </w:r>
      <w:r>
        <w:rPr>
          <w:rFonts w:hint="eastAsia" w:ascii="方正仿宋_GBK" w:hAnsi="方正仿宋_GBK" w:eastAsia="方正仿宋_GBK" w:cs="方正仿宋_GBK"/>
          <w:b/>
          <w:bCs/>
          <w:lang w:val="en-US" w:eastAsia="zh-CN"/>
        </w:rPr>
        <w:t>创新技术服务模式</w:t>
      </w:r>
      <w:r>
        <w:rPr>
          <w:rFonts w:hint="eastAsia" w:ascii="方正仿宋_GBK" w:hAnsi="方正仿宋_GBK" w:eastAsia="方正仿宋_GBK" w:cs="方正仿宋_GBK"/>
          <w:b/>
          <w:bCs/>
        </w:rPr>
        <w:t>。</w:t>
      </w:r>
      <w:r>
        <w:rPr>
          <w:rFonts w:hint="eastAsia" w:ascii="方正仿宋_GBK" w:hAnsi="方正仿宋_GBK" w:eastAsia="方正仿宋_GBK" w:cs="方正仿宋_GBK"/>
        </w:rPr>
        <w:t>统筹</w:t>
      </w:r>
      <w:r>
        <w:rPr>
          <w:rFonts w:hint="eastAsia" w:ascii="方正仿宋_GBK" w:hAnsi="方正仿宋_GBK" w:eastAsia="方正仿宋_GBK" w:cs="方正仿宋_GBK"/>
          <w:lang w:val="en-US" w:eastAsia="zh-CN"/>
        </w:rPr>
        <w:t>农业农村</w:t>
      </w:r>
      <w:r>
        <w:rPr>
          <w:rFonts w:hint="eastAsia" w:ascii="方正仿宋_GBK" w:hAnsi="方正仿宋_GBK" w:eastAsia="方正仿宋_GBK" w:cs="方正仿宋_GBK"/>
        </w:rPr>
        <w:t>系统</w:t>
      </w:r>
      <w:r>
        <w:rPr>
          <w:rFonts w:hint="eastAsia" w:ascii="方正仿宋_GBK" w:hAnsi="方正仿宋_GBK" w:eastAsia="方正仿宋_GBK" w:cs="方正仿宋_GBK"/>
          <w:lang w:val="en-US" w:eastAsia="zh-CN"/>
        </w:rPr>
        <w:t>干部</w:t>
      </w:r>
      <w:r>
        <w:rPr>
          <w:rFonts w:hint="eastAsia" w:ascii="方正仿宋_GBK" w:hAnsi="方正仿宋_GBK" w:eastAsia="方正仿宋_GBK" w:cs="方正仿宋_GBK"/>
        </w:rPr>
        <w:t>力量</w:t>
      </w:r>
      <w:r>
        <w:rPr>
          <w:rFonts w:hint="eastAsia" w:ascii="方正仿宋_GBK" w:hAnsi="方正仿宋_GBK" w:eastAsia="方正仿宋_GBK" w:cs="方正仿宋_GBK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lang w:val="en-US" w:eastAsia="zh-CN"/>
        </w:rPr>
        <w:t>吸纳科研院所、涉农企业、社会团体人员</w:t>
      </w:r>
      <w:r>
        <w:rPr>
          <w:rFonts w:hint="eastAsia" w:ascii="方正仿宋_GBK" w:hAnsi="方正仿宋_GBK" w:eastAsia="方正仿宋_GBK" w:cs="方正仿宋_GBK"/>
        </w:rPr>
        <w:t>组建专家团队、项目工队、营销战队</w:t>
      </w:r>
      <w:r>
        <w:rPr>
          <w:rFonts w:hint="eastAsia" w:ascii="方正仿宋_GBK" w:hAnsi="方正仿宋_GBK" w:eastAsia="方正仿宋_GBK" w:cs="方正仿宋_GBK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</w:rPr>
        <w:t>开展“三队”包联服务</w:t>
      </w:r>
      <w:r>
        <w:rPr>
          <w:rFonts w:hint="eastAsia" w:ascii="方正仿宋_GBK" w:hAnsi="方正仿宋_GBK" w:eastAsia="方正仿宋_GBK" w:cs="方正仿宋_GBK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b/>
          <w:bCs/>
        </w:rPr>
        <w:t>专家团队</w:t>
      </w:r>
      <w:r>
        <w:rPr>
          <w:rFonts w:hint="eastAsia" w:ascii="方正仿宋_GBK" w:hAnsi="方正仿宋_GBK" w:eastAsia="方正仿宋_GBK" w:cs="方正仿宋_GBK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聚焦生产难题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以加快农业主推技术、主推品种、重点推广标准应用落地为首要任务，包县包村包主体、到村到户到田头、送技术送政策送信息，开展农业生产技术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服务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</w:rPr>
        <w:t>项目工队。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聚焦项目瓶颈，抓好项目落地、开工、见效，实行全过程跟踪服务，推动尽快形成新产能。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</w:rPr>
        <w:t>营销战队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聚焦市场营销联动服务，打造“有机旱作·晋品”省域农业品牌形象，提升产业业态和产品形态。</w:t>
      </w:r>
      <w:r>
        <w:rPr>
          <w:rFonts w:hint="eastAsia" w:ascii="方正仿宋_GBK" w:hAnsi="方正仿宋_GBK" w:eastAsia="方正仿宋_GBK" w:cs="方正仿宋_GBK"/>
          <w:lang w:val="en-US" w:eastAsia="zh-CN"/>
        </w:rPr>
        <w:t>持续提升包联匹配度、服务精准度、群众满意度，为全方位推动农业农村高质量发展提供强力支撑。</w:t>
      </w:r>
      <w:r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ind w:left="0" w:leftChars="0" w:firstLine="642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mallCaps/>
          <w:kern w:val="2"/>
          <w:sz w:val="32"/>
          <w:szCs w:val="32"/>
          <w:lang w:val="en-US" w:eastAsia="zh-CN" w:bidi="ar-SA"/>
        </w:rPr>
        <w:t>4.创建全国农业科技示范县。</w:t>
      </w:r>
      <w:r>
        <w:rPr>
          <w:rFonts w:hint="eastAsia" w:ascii="方正仿宋_GBK" w:hAnsi="方正仿宋_GBK" w:eastAsia="方正仿宋_GBK" w:cs="方正仿宋_GBK"/>
          <w:smallCaps/>
          <w:kern w:val="2"/>
          <w:sz w:val="32"/>
          <w:szCs w:val="32"/>
          <w:lang w:val="en-US" w:eastAsia="zh-CN" w:bidi="ar-SA"/>
        </w:rPr>
        <w:t>支持山西农业大学（省农科院）与太谷区、临猗县共建全国农业科技现代化先行县。在农业科技支撑乡村振兴机制、开展科技短板攻关、建设展示基地、智慧农业试验区、技术服务平台、扶持新型经营主体、打造宜居乡村、培养科技创业人才等8个方面积极探索，推动县域优势特色产业转型升级、提质增效。支持孝义市、临县建设全国大豆科技自强行动示范县，右玉建设全国油菜产业绿色革命科技行动示范县</w:t>
      </w:r>
      <w:r>
        <w:rPr>
          <w:rFonts w:hint="eastAsia" w:ascii="仿宋_GB2312" w:hAnsi="仿宋_GB2312" w:eastAsia="仿宋_GB2312" w:cs="仿宋_GB2312"/>
          <w:smallCaps/>
          <w:kern w:val="2"/>
          <w:sz w:val="32"/>
          <w:szCs w:val="32"/>
          <w:lang w:val="en-US" w:eastAsia="zh-CN" w:bidi="ar-SA"/>
        </w:rPr>
        <w:t>。</w:t>
      </w:r>
      <w:bookmarkStart w:id="119" w:name="_Toc13281"/>
      <w:bookmarkStart w:id="120" w:name="_Toc1364"/>
      <w:bookmarkStart w:id="121" w:name="_Toc31580"/>
      <w:bookmarkStart w:id="122" w:name="_Toc4026"/>
      <w:bookmarkStart w:id="123" w:name="_Toc8468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80" w:lineRule="atLeas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四、重大行动</w:t>
      </w:r>
      <w:bookmarkEnd w:id="119"/>
      <w:bookmarkEnd w:id="120"/>
      <w:bookmarkEnd w:id="121"/>
      <w:bookmarkEnd w:id="122"/>
      <w:bookmarkEnd w:id="123"/>
    </w:p>
    <w:p>
      <w:pPr>
        <w:pStyle w:val="2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80" w:lineRule="atLeas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lang w:val="en-US" w:eastAsia="zh-CN"/>
        </w:rPr>
        <w:t>聚焦农业农村高质量发展关键核心技术卡点、产业发展升级痛点及乡村建设发展重点强化科技支撑。</w:t>
      </w:r>
    </w:p>
    <w:p>
      <w:pPr>
        <w:pStyle w:val="2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firstLine="642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bookmarkStart w:id="124" w:name="_Toc1454"/>
      <w:bookmarkStart w:id="125" w:name="_Toc24567"/>
      <w:bookmarkStart w:id="126" w:name="_Toc27871"/>
      <w:bookmarkStart w:id="127" w:name="_Toc8416"/>
      <w:bookmarkStart w:id="128" w:name="_Toc11816"/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特色种业强省科技支撑行动</w:t>
      </w:r>
      <w:bookmarkEnd w:id="124"/>
      <w:bookmarkEnd w:id="125"/>
      <w:bookmarkEnd w:id="126"/>
      <w:bookmarkEnd w:id="127"/>
      <w:bookmarkEnd w:id="128"/>
    </w:p>
    <w:p>
      <w:pPr>
        <w:pStyle w:val="2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针对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我省作物种质资源挖掘利用滞后，基因型精准鉴定不足问题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开展种质资源精准鉴定评价。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建立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农业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种质资源鉴定评价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与基因发掘平台，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鉴选高产、优质、抗逆、宜机化等优异种质资源，利用基因芯片、基因组重测序和分子标记技术开展种质资源基因型精准鉴定，结合表型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鉴定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，挖掘育种关键基因位点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构建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种质资源DNA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分子指纹图谱库。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对马身猪、晋南牛、边鸡等畜禽地方品种、培育品种、引入品种开展表型与基因型精准鉴定评价，挖掘优异种质性状和基因资源，构建畜禽品种表型和DNA特征库。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开展育种联合攻关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精准选育主要农作物、特色杂粮及油料作物、特色蔬菜、特色、道地药材、主要食用菌新品种，开展晋汾白猪、晋南牛、太行山羊联合育种攻关。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tbl>
      <w:tblPr>
        <w:tblStyle w:val="25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pStyle w:val="8"/>
              <w:spacing w:line="40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专栏2 作物育种创新方向</w:t>
            </w:r>
          </w:p>
          <w:p>
            <w:pPr>
              <w:pStyle w:val="8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玉米、小麦、大豆等主要农作物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玉米以高蛋白、丰产、耐密、抗倒、抗病为主攻方向，小麦以高产、优质、专用、广适为主攻方向，大豆以耐荫、抗倒、抗旱、高荚位为主攻方向，选育高产、优质、宜机收新品种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pStyle w:val="8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谷子、高粱、马铃薯、胡麻等特色杂粮及油料作物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加快选育高产优质、多抗专用、适宜机械化生产的杂粮突破性新品种。加强高产、高油、抗病、抗逆、养分高效等油料作物新品种选育研究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8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大白菜、西葫芦、辣椒等特色蔬菜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加快选育优质、抗病、丰产、耐寒、耐弱光，适宜我省露地和设施栽培的新品种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pStyle w:val="8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苹果、梨、枣、葡萄等特色果树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加强以优质抗逆适宜精简化栽培为主攻方向的新品种选育，提升特优品种培育创新能力水平。</w:t>
            </w:r>
          </w:p>
          <w:p>
            <w:pPr>
              <w:pStyle w:val="8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远志、黄芪等道地中药材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加强优质、多抗、有效成分含量高，药效明显的新品种选育研究，提升我省道地药材育种水平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pStyle w:val="8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香菇、木耳、金针菇等主要食用菌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发掘特异基因资源，加强抗病优质高产新品种选育，加快培育突破性新品种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pStyle w:val="8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生猪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以晋汾白猪为育种材料，培育优质、高效新品系，提高晋汾白猪市场占有率，满足市场对优质猪肉的需求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pStyle w:val="8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奶牛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以中国荷斯坦牛为主体，坚持高产、高效和健康的育种目标，通过对繁殖、健康和抗病力等性状的选育，持续提升奶牛生产性能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pStyle w:val="8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肉牛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充分挖掘晋南牛地方品种肉质好、耐粗饲、抗逆性强的优良特性，加强选育和高效利用，提高肉用生产性能和种群供种能力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pStyle w:val="8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羊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加大晋岚绒山羊本品种选育力度，建立绒山羊育种体系，提高产绒性能。基于本地肉羊品种，引进湖羊和杜泊羊，采用杂交、自群繁育等方式，培育适应区域发展的高质量肉羊新品种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pStyle w:val="8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鸡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以边鸡为基础，引进地方优质肉鸡杂交改良，开展边鸡肉用配套系培育；与引进的绿壳蛋鸡、高产蛋鸡进行三系杂交配套，开展边鸡蛋肉兼用配套系选育，满足多元化市场需求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bookmarkStart w:id="129" w:name="_Toc12075"/>
      <w:bookmarkStart w:id="130" w:name="_Toc18283"/>
      <w:bookmarkStart w:id="131" w:name="_Toc3451"/>
      <w:bookmarkStart w:id="132" w:name="_Toc14901"/>
      <w:bookmarkStart w:id="133" w:name="_Toc13919"/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耕地质量保护与提升科技支撑行动</w:t>
      </w:r>
      <w:bookmarkEnd w:id="129"/>
      <w:bookmarkEnd w:id="130"/>
      <w:bookmarkEnd w:id="131"/>
      <w:bookmarkEnd w:id="132"/>
      <w:bookmarkEnd w:id="133"/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针对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全省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低产田比例大、土壤有机质含量低、基础地力偏低等问题，开展绿色农田建设技术研发、高标准农田监测评价与培肥管护技术研究、退化耕地治理技术推广、盐碱地综合利用技术集成。建立全省耕地质量大数据库，明确耕地质量快速提升主控因素及定向培育关键技术。建立耕地质量变化与施肥、耕作等措施的定量关系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集成推广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有机物料和肥料精准施用技术。研制土壤有机质快速提升与土壤障碍因素消减的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关键技术、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改良剂与生物制剂产品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集成推广高标准农田建设先进实用技术及产品，示范建设高标准绿色农田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使全省耕地质量提升0.5-1.5个等级。</w:t>
      </w:r>
      <w:r>
        <w:rPr>
          <w:rFonts w:hint="eastAsia" w:ascii="方正仿宋_GBK" w:hAnsi="方正仿宋_GBK" w:eastAsia="方正仿宋_GBK" w:cs="方正仿宋_GBK"/>
        </w:rPr>
        <w:t> </w:t>
      </w:r>
    </w:p>
    <w:p>
      <w:pPr>
        <w:pStyle w:val="2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bidi w:val="0"/>
        <w:spacing w:before="0" w:beforeAutospacing="0" w:after="0" w:afterAutospacing="0" w:line="60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方正仿宋_GBK" w:hAnsi="方正仿宋_GBK" w:eastAsia="方正仿宋_GBK" w:cs="方正仿宋_GBK"/>
        </w:rPr>
        <w:t> </w:t>
      </w:r>
      <w:r>
        <w:rPr>
          <w:rFonts w:hint="eastAsia" w:ascii="仿宋_GB2312" w:hAnsi="仿宋_GB2312" w:eastAsia="仿宋_GB2312" w:cs="仿宋_GB2312"/>
        </w:rPr>
        <w:t>      </w:t>
      </w:r>
    </w:p>
    <w:tbl>
      <w:tblPr>
        <w:tblStyle w:val="24"/>
        <w:tblW w:w="88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8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1" w:hRule="atLeast"/>
          <w:jc w:val="center"/>
        </w:trPr>
        <w:tc>
          <w:tcPr>
            <w:tcW w:w="8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专栏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高标准农田地力培肥技术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汾渭谷地区：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针对地力下降等粮食生产主要制约因素，以提高土肥水资源利用率和土壤培肥改良为主攻方向，推行秸秆还田、深耕深松、绿肥种植、有机肥增施、配方施肥、施用土壤调理剂等措施，保护土壤健康。有条件的地方配套秸秆还田和农家肥积造设施。改粮粮轮作为粮豆轮作、粮肥轮作。耕作层土壤有机质达到18g/kg以上，土壤pH值一般保持在7.5～8.0，耕地质量等级达到4.5等以上；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-320" w:leftChars="-10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2.2.晋东南盆地丘陵区：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针对农田养分失衡、土壤保水保肥能力差等粮食生产主要制约因素，以培肥地力等为主攻方向，实施“两茬还田”，在两年三熟种植区，推广小麦、玉米或麦、豆“两茬”还田。在一年一熟种植区，因地制宜种植“绿肥”，实行翻压还田。合理实施粮豆轮作。实施测土配方施肥，促进土壤养分相对均衡。耕作层土壤有机质含量达到20g/kg以上，土壤pH值一般保持在7.5～8.0，耕地质量等级达到4.8等以上;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-320" w:leftChars="-10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晋东山地丘陵区：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针对田块小而不平、土壤蓄水保水能力低、防涝抗旱能力不强等粮食生产主要制约因素，实施“三改一盖”，改顺坡种植为机械起垄横向种植、改长坡种植为短坡种植、改粮食种植为粮豆轮作，因地制宜开展秸秆免耕覆“盖”还田或秸秆地膜二元覆“盖”及深耕深松等蓄水保墒为主要内容的旱作农业技术措施。实施测土配方施肥，促进土壤养分相对均衡。耕作层土壤有机质含量宜达到16g/kg以上，土壤pH值一般保持在7.5～8.0，耕地质量等级达到5.7等以上；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4.4.晋陕丘陵沟谷区：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针对坡耕地面积大、水土流失严重、土壤贫瘠、等主要粮食生产主要制约因素，以采取有机旱作、加强水土保持等为主攻方向，增施有机肥、秸秆还田、因地制宜种植绿肥、施用土壤熟化剂，提高土壤肥力水平。改粗放经营为精耕细作。耕作层土壤有机质含量宜达到12g/kg以上，土壤pH值一般保持在7.5～8.0，耕地质量等级达到7.5等以上；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-320" w:leftChars="-10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5.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晋北高原区：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针对土体干旱、土壤瘠薄、土壤盐渍化等粮食生产主要制约因素，以盐碱地治理、实施高效节水灌溉等为主攻方向，因地制宜采取灌水压盐、挖沟排盐、沃土抗盐、化学改盐、耕作压盐（秋深耕春浅旋）、生物降盐等措施治理土壤盐碱化，提高耕地质量水平。推广少耕穴灌集雨沟播、保护性耕作、地膜覆盖增温提墒等旱作技术，提高旱地综合生产能力。耕作层土壤有机质含量宜达到12g/kg以上，土壤pH值一般保持在7.5～8.0，耕地质量等级达到6等以上。 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240" w:line="580" w:lineRule="atLeast"/>
        <w:ind w:firstLine="642" w:firstLineChars="200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lang w:eastAsia="zh-CN"/>
        </w:rPr>
      </w:pPr>
      <w:bookmarkStart w:id="134" w:name="_Toc3209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240" w:line="580" w:lineRule="atLeast"/>
        <w:ind w:firstLine="642" w:firstLineChars="200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/>
          <w:bCs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b/>
          <w:bCs/>
          <w:lang w:eastAsia="zh-CN"/>
        </w:rPr>
        <w:t>）高效种养与绿色生产</w:t>
      </w:r>
      <w:r>
        <w:rPr>
          <w:rFonts w:hint="eastAsia" w:ascii="方正楷体_GBK" w:hAnsi="方正楷体_GBK" w:eastAsia="方正楷体_GBK" w:cs="方正楷体_GBK"/>
          <w:b/>
          <w:bCs/>
          <w:lang w:val="en-US" w:eastAsia="zh-CN"/>
        </w:rPr>
        <w:t>科技支撑行动</w:t>
      </w:r>
      <w:bookmarkEnd w:id="134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240" w:line="58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0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</w:rPr>
        <w:t>开展农作物高效种植和畜禽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lang w:val="en-US" w:eastAsia="zh-CN"/>
        </w:rPr>
        <w:t>水产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</w:rPr>
        <w:t>健康养殖技术研发、产品创制和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lang w:val="en-US" w:eastAsia="zh-CN"/>
        </w:rPr>
        <w:t>装备应用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</w:rPr>
        <w:t>,提升农业绿色发展技术供给适配性,提高土地产出率、劳动生产率和资源利用率。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240" w:line="580" w:lineRule="atLeas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0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lang w:eastAsia="zh-CN"/>
        </w:rPr>
        <w:t>有机旱作</w:t>
      </w:r>
      <w:r>
        <w:rPr>
          <w:rFonts w:hint="eastAsia" w:ascii="方正仿宋_GBK" w:hAnsi="方正仿宋_GBK" w:eastAsia="方正仿宋_GBK" w:cs="方正仿宋_GBK"/>
          <w:b/>
          <w:bCs/>
          <w:lang w:val="en-US" w:eastAsia="zh-CN"/>
        </w:rPr>
        <w:t>技术</w:t>
      </w:r>
      <w:r>
        <w:rPr>
          <w:rFonts w:hint="eastAsia" w:ascii="方正仿宋_GBK" w:hAnsi="方正仿宋_GBK" w:eastAsia="方正仿宋_GBK" w:cs="方正仿宋_GBK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lang w:eastAsia="zh-CN"/>
        </w:rPr>
        <w:t>完善旱作技术体系，加快“有机旱作农业耐瘠抗逆节水增效技术模式与应用”“杂豆产业关键技术研究与应用示范”国家重点研发计划，开展农田提质保水研究，在雨水集蓄资源化利用、智能补灌、艺机一体化等技术方面形成一批突破性成果。制定一批有机旱作农业标准，建设一批科研示范基地，集成有机旱作耐瘠抗逆节水技术，形成一批资源节约、绿色增产、质量安全的有机旱作技术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lang w:val="en-US" w:eastAsia="zh-CN"/>
        </w:rPr>
        <w:t>模式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240" w:line="580" w:lineRule="atLeas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</w:rPr>
        <w:t>畜</w:t>
      </w:r>
      <w:r>
        <w:rPr>
          <w:rFonts w:hint="eastAsia" w:ascii="方正仿宋_GBK" w:hAnsi="方正仿宋_GBK" w:eastAsia="方正仿宋_GBK" w:cs="方正仿宋_GBK"/>
          <w:b/>
          <w:bCs/>
          <w:kern w:val="0"/>
          <w:lang w:val="en-US" w:eastAsia="zh-CN"/>
        </w:rPr>
        <w:t>禽水产绿色健康养殖</w:t>
      </w:r>
      <w:r>
        <w:rPr>
          <w:rFonts w:hint="eastAsia" w:ascii="方正仿宋_GBK" w:hAnsi="方正仿宋_GBK" w:eastAsia="方正仿宋_GBK" w:cs="方正仿宋_GBK"/>
          <w:b/>
          <w:bCs/>
          <w:kern w:val="0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lang w:eastAsia="zh-CN"/>
        </w:rPr>
        <w:t>加强种畜禽繁殖力提升、饲料高效利用、规模化健康养殖等技术研究，集成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</w:rPr>
        <w:t>推广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lang w:eastAsia="zh-CN"/>
        </w:rPr>
        <w:t>主要畜禽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</w:rPr>
        <w:t>精准饲喂技术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lang w:eastAsia="zh-CN"/>
        </w:rPr>
        <w:t>、健康养殖模式、新型加工工艺及其成套养殖装备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</w:rPr>
        <w:t>。提高畜禽单产水平和饲料报酬，降低反刍动物肠道甲烷排放强度，提升蓄禽养殖粪污资源化利用水平。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lang w:val="en-US" w:eastAsia="zh-CN"/>
        </w:rPr>
        <w:t>聚焦水产种业、配合饲料、疫病防控、水产养殖机械化、水产品加工等关键领域，加快研发、引进与本土化创新一批核心技术及产品。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240" w:line="580" w:lineRule="atLeast"/>
        <w:ind w:firstLine="642" w:firstLineChars="200"/>
        <w:textAlignment w:val="auto"/>
        <w:rPr>
          <w:rFonts w:hint="eastAsia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lang w:eastAsia="zh-CN"/>
        </w:rPr>
        <w:t>农业面源污染防治</w:t>
      </w:r>
      <w:r>
        <w:rPr>
          <w:rFonts w:hint="eastAsia" w:ascii="方正仿宋_GBK" w:hAnsi="方正仿宋_GBK" w:eastAsia="方正仿宋_GBK" w:cs="方正仿宋_GBK"/>
          <w:b/>
          <w:bCs/>
          <w:kern w:val="0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lang w:eastAsia="zh-CN"/>
        </w:rPr>
        <w:t>集成推广农业面源污染防治综合技术模式，开展农业面源污染治理试点示范，持续推进重点流域农业面源污染整县治理。集成推广肥药减量增效技术模式。研究农村养殖、种植、加工等农业废弃物协同处理技术模式,集成建立适应不同区域特色的农业废弃物利用模式。集成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lang w:val="en-US" w:eastAsia="zh-CN"/>
        </w:rPr>
        <w:t>推广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lang w:eastAsia="zh-CN"/>
        </w:rPr>
        <w:t>农业废弃物就地减量、就地处理、就地消纳的综合利用技术模式体系。</w:t>
      </w:r>
    </w:p>
    <w:tbl>
      <w:tblPr>
        <w:tblStyle w:val="24"/>
        <w:tblW w:w="83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3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1" w:hRule="atLeast"/>
          <w:jc w:val="center"/>
        </w:trPr>
        <w:tc>
          <w:tcPr>
            <w:tcW w:w="8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after="240" w:line="300" w:lineRule="exact"/>
              <w:ind w:firstLine="2409" w:firstLineChars="100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 xml:space="preserve">专栏4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农业绿色低碳技术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after="24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水肥精准管控技术。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研发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推广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 xml:space="preserve">大田作物低能耗喷滴灌、精细地面灌溉、全生物降解地膜覆盖保墒、土壤养分联合浸提、植株氮磷钾营养诊断等新技术、新方法和新产品，建立旱作区旱涝保收、高效节水灌溉以及肥料缓释技术体系；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创制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推广绿色投入品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 xml:space="preserve">。创制推广高效、安全与低残留的绿色农药、绿色兽药、智能肥料、功能饲料、全生物降解地膜等绿色投入品，集成推广肥药减量增效技术模式，推广应用兽用中药；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.农业废弃物综合利用技术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。研究畜禽粪污处理和还田利用关键技术;重点研究肥料化、饲料化、燃料化等多途径的秸秆综合利用关键技术;推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进地膜科学回收，鼓励对全生物降解地膜的研究、试验示范及推广，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开展常态化、制度化监测；推进包装废弃物回收处置；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农业减排固碳技术。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落实保护性耕作、秸秆还田、有机肥使用、绿肥种植等措施，提升农田土壤有机质含量，发挥果园碳汇功能。加快老旧农机报废更新力度，推广先进实用的低碳节能农机装备，降低化石能源消耗和二氧化碳排放。因地制宜推广应用生物质能、太阳能、风能、地热能等绿色用能模式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outlineLvl w:val="9"/>
        <w:rPr>
          <w:rFonts w:hint="eastAsia" w:ascii="宋体" w:hAnsi="宋体" w:eastAsia="宋体" w:cs="宋体"/>
          <w:b w:val="0"/>
          <w:bCs w:val="0"/>
          <w:smallCaps/>
          <w:kern w:val="0"/>
          <w:sz w:val="24"/>
          <w:szCs w:val="24"/>
          <w:lang w:val="en-US" w:eastAsia="zh-CN" w:bidi="ar-SA"/>
        </w:rPr>
      </w:pPr>
      <w:bookmarkStart w:id="135" w:name="_Toc20205"/>
      <w:bookmarkStart w:id="136" w:name="_Toc13100"/>
      <w:bookmarkStart w:id="137" w:name="_Toc23820"/>
      <w:bookmarkStart w:id="138" w:name="_Toc235"/>
      <w:bookmarkStart w:id="139" w:name="_Toc14528"/>
    </w:p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600" w:lineRule="exact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lang w:eastAsia="zh-CN"/>
        </w:rPr>
      </w:pPr>
    </w:p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600" w:lineRule="exact"/>
        <w:ind w:firstLine="642" w:firstLineChars="200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</w:rPr>
      </w:pPr>
      <w:r>
        <w:rPr>
          <w:rFonts w:hint="eastAsia" w:ascii="方正楷体_GBK" w:hAnsi="方正楷体_GBK" w:eastAsia="方正楷体_GBK" w:cs="方正楷体_GBK"/>
          <w:b/>
          <w:bCs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/>
          <w:bCs/>
          <w:lang w:val="en-US" w:eastAsia="zh-CN"/>
        </w:rPr>
        <w:t>四</w:t>
      </w:r>
      <w:r>
        <w:rPr>
          <w:rFonts w:hint="eastAsia" w:ascii="方正楷体_GBK" w:hAnsi="方正楷体_GBK" w:eastAsia="方正楷体_GBK" w:cs="方正楷体_GBK"/>
          <w:b/>
          <w:bCs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/>
          <w:bCs/>
        </w:rPr>
        <w:t>智能农机装备科技支撑行动</w:t>
      </w:r>
      <w:bookmarkEnd w:id="135"/>
    </w:p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pacing w:val="6"/>
        </w:rPr>
      </w:pPr>
      <w:r>
        <w:rPr>
          <w:rFonts w:hint="eastAsia" w:ascii="方正仿宋_GBK" w:hAnsi="方正仿宋_GBK" w:eastAsia="方正仿宋_GBK" w:cs="方正仿宋_GBK"/>
          <w:kern w:val="0"/>
        </w:rPr>
        <w:t>针对我省杂粮和特色作物综合机械化水平较低，丘陵山区机械化水平较低，畜牧业、林果业、设施农业、农产品初加工的机械化水平较低等问题，</w:t>
      </w:r>
      <w:r>
        <w:rPr>
          <w:rFonts w:hint="eastAsia" w:ascii="方正仿宋_GBK" w:hAnsi="方正仿宋_GBK" w:eastAsia="方正仿宋_GBK" w:cs="方正仿宋_GBK"/>
          <w:kern w:val="0"/>
          <w:lang w:val="en-US" w:eastAsia="zh-CN"/>
        </w:rPr>
        <w:t>研发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</w:rPr>
        <w:t>推广</w:t>
      </w:r>
      <w:r>
        <w:rPr>
          <w:rFonts w:hint="eastAsia" w:ascii="方正仿宋_GBK" w:hAnsi="方正仿宋_GBK" w:eastAsia="方正仿宋_GBK" w:cs="方正仿宋_GBK"/>
          <w:color w:val="000000"/>
        </w:rPr>
        <w:t>适应多种形式适度规模经营的大中型、高性能、智能化、复式作业机具；适应丘陵山区作业的经济实用耕种收等小型农机；适应特色农业、畜禽养殖，发展杂粮、设施农业、中药材、饲草饲喂、畜禽粪污处理等高效专用农机；适应绿色农业，发展节能型粮食、果蔬烘干设备等新能源农机新产品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6"/>
        </w:rPr>
        <w:t>推动</w:t>
      </w:r>
      <w:r>
        <w:rPr>
          <w:rFonts w:hint="eastAsia" w:ascii="方正仿宋_GBK" w:hAnsi="方正仿宋_GBK" w:eastAsia="方正仿宋_GBK" w:cs="方正仿宋_GBK"/>
          <w:color w:val="000000"/>
          <w:spacing w:val="6"/>
        </w:rPr>
        <w:t>智慧农机示范应用，促进物联网、大数据、移动互联网、智能控制等信息技术在农机装备和农机作业上的应用。</w:t>
      </w:r>
    </w:p>
    <w:p>
      <w:pPr>
        <w:rPr>
          <w:rFonts w:hint="eastAsia"/>
          <w:lang w:eastAsia="zh-CN"/>
        </w:rPr>
      </w:pPr>
    </w:p>
    <w:tbl>
      <w:tblPr>
        <w:tblStyle w:val="24"/>
        <w:tblW w:w="83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3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1" w:hRule="atLeast"/>
          <w:jc w:val="center"/>
        </w:trPr>
        <w:tc>
          <w:tcPr>
            <w:tcW w:w="8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专栏5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适用农机装备与技术</w:t>
            </w:r>
          </w:p>
          <w:p>
            <w:pPr>
              <w:pStyle w:val="18"/>
              <w:ind w:left="0" w:leftChars="0" w:firstLine="0" w:firstLineChars="0"/>
              <w:rPr>
                <w:rFonts w:hint="eastAsia" w:ascii="宋体" w:hAnsi="宋体" w:eastAsia="宋体" w:cs="宋体"/>
                <w:b/>
                <w:bCs/>
                <w:smallCap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18"/>
              <w:ind w:left="0" w:leftChars="0" w:firstLine="0" w:firstLineChars="0"/>
              <w:rPr>
                <w:rFonts w:hint="eastAsia" w:ascii="宋体" w:hAnsi="宋体" w:eastAsia="宋体" w:cs="宋体"/>
                <w:smallCap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mallCaps/>
                <w:kern w:val="0"/>
                <w:sz w:val="24"/>
                <w:szCs w:val="24"/>
                <w:lang w:val="en-US" w:eastAsia="zh-CN" w:bidi="ar-SA"/>
              </w:rPr>
              <w:t>1.粮食类生产全程机械化技术。</w:t>
            </w:r>
            <w:r>
              <w:rPr>
                <w:rFonts w:hint="eastAsia" w:ascii="宋体" w:hAnsi="宋体" w:eastAsia="宋体" w:cs="宋体"/>
                <w:smallCaps/>
                <w:kern w:val="0"/>
                <w:sz w:val="24"/>
                <w:szCs w:val="24"/>
                <w:lang w:val="en-US" w:eastAsia="zh-CN" w:bidi="ar-SA"/>
              </w:rPr>
              <w:t>在小麦主产区推广高效植保、产地烘干、秸秆处理等环节与耕种收环节机械化集成配套技术。在玉米主产区推广玉米机械化耕整地、精量播种、中耕除草、植保、联合收获、烘干与秸秆处理等机械化技术。在杂粮主产区推广高粱、胡麻、莜麦、荞麦、谷子、豆类全程机械化技术，探索杂粮作物机械化装备集成配套；</w:t>
            </w:r>
          </w:p>
          <w:p>
            <w:pPr>
              <w:pStyle w:val="18"/>
              <w:ind w:left="0" w:leftChars="0" w:firstLine="0" w:firstLineChars="0"/>
              <w:rPr>
                <w:rFonts w:hint="eastAsia" w:ascii="宋体" w:hAnsi="宋体" w:eastAsia="宋体" w:cs="宋体"/>
                <w:smallCap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mallCaps/>
                <w:kern w:val="0"/>
                <w:sz w:val="24"/>
                <w:szCs w:val="24"/>
                <w:lang w:val="en-US" w:eastAsia="zh-CN" w:bidi="ar-SA"/>
              </w:rPr>
              <w:t>2.非粮类生产全程机械化技术</w:t>
            </w:r>
            <w:r>
              <w:rPr>
                <w:rFonts w:hint="eastAsia" w:ascii="宋体" w:hAnsi="宋体" w:eastAsia="宋体" w:cs="宋体"/>
                <w:smallCaps/>
                <w:kern w:val="0"/>
                <w:sz w:val="24"/>
                <w:szCs w:val="24"/>
                <w:lang w:val="en-US" w:eastAsia="zh-CN" w:bidi="ar-SA"/>
              </w:rPr>
              <w:t>。在蔬菜机械化生产实施区，集成推广大田蔬菜与设施蔬菜机械化生产耕整、播种(移栽)、灌溉施肥、植保、采摘、运输、环境调控等环节技术装备。在机械化林果业生产实施区集成推广果园机械化管护技术。在机械化畜牧生产实施区推广牧草生产标准化全程机械化技术。探索中小规模养殖场（户）畜禽废弃物处理和资源化利用解决方案。在机械化中药材（药茶）生产实施区推广道地药材机艺一体化生产模式；</w:t>
            </w:r>
          </w:p>
          <w:p>
            <w:pPr>
              <w:pStyle w:val="18"/>
              <w:numPr>
                <w:ilvl w:val="0"/>
                <w:numId w:val="0"/>
              </w:numPr>
              <w:ind w:left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mallCaps/>
                <w:kern w:val="0"/>
                <w:sz w:val="24"/>
                <w:szCs w:val="24"/>
                <w:lang w:val="en-US" w:eastAsia="zh-CN" w:bidi="ar-SA"/>
              </w:rPr>
              <w:t>3.智能农机装备与技术。</w:t>
            </w:r>
            <w:r>
              <w:rPr>
                <w:rFonts w:hint="eastAsia" w:ascii="宋体" w:hAnsi="宋体" w:eastAsia="宋体" w:cs="宋体"/>
                <w:smallCaps/>
                <w:kern w:val="0"/>
                <w:sz w:val="24"/>
                <w:szCs w:val="24"/>
                <w:lang w:val="en-US" w:eastAsia="zh-CN" w:bidi="ar-SA"/>
              </w:rPr>
              <w:t>研发丘陵山地智能农机装备，示范推广智慧农机，加快大数据、智能控制、农业机器人、卫星遥感定位等信息技术在农机装备上的应用。推广绿色智能农机装备和节本增效农业机械化技术。</w:t>
            </w:r>
          </w:p>
        </w:tc>
      </w:tr>
    </w:tbl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600" w:lineRule="exact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lang w:eastAsia="zh-CN"/>
        </w:rPr>
      </w:pPr>
      <w:bookmarkStart w:id="140" w:name="_Toc17722"/>
    </w:p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600" w:lineRule="exact"/>
        <w:ind w:firstLine="321" w:firstLineChars="100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</w:rPr>
      </w:pPr>
      <w:r>
        <w:rPr>
          <w:rFonts w:hint="eastAsia" w:ascii="方正楷体_GBK" w:hAnsi="方正楷体_GBK" w:eastAsia="方正楷体_GBK" w:cs="方正楷体_GBK"/>
          <w:b/>
          <w:bCs/>
          <w:lang w:eastAsia="zh-CN"/>
        </w:rPr>
        <w:t>（五）</w:t>
      </w:r>
      <w:r>
        <w:rPr>
          <w:rFonts w:hint="eastAsia" w:ascii="方正楷体_GBK" w:hAnsi="方正楷体_GBK" w:eastAsia="方正楷体_GBK" w:cs="方正楷体_GBK"/>
          <w:b/>
          <w:bCs/>
        </w:rPr>
        <w:t>农产品流通与加工增值科技支撑行动</w:t>
      </w:r>
      <w:bookmarkEnd w:id="136"/>
      <w:bookmarkEnd w:id="137"/>
      <w:bookmarkEnd w:id="138"/>
      <w:bookmarkEnd w:id="139"/>
      <w:bookmarkEnd w:id="140"/>
    </w:p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</w:rPr>
      </w:pPr>
      <w:r>
        <w:rPr>
          <w:rFonts w:hint="eastAsia" w:ascii="方正仿宋_GBK" w:hAnsi="方正仿宋_GBK" w:eastAsia="方正仿宋_GBK" w:cs="方正仿宋_GBK"/>
          <w:kern w:val="0"/>
        </w:rPr>
        <w:t>针对我省粮油果蔬及畜禽等主要鲜活农产品流通降本减耗增效难题，加快产地预冷、预选分级、冷藏等技术和装备研发，形成适合不同品类的鲜活农产品流通技术模式。研发</w:t>
      </w:r>
      <w:r>
        <w:rPr>
          <w:rFonts w:hint="eastAsia" w:ascii="方正仿宋_GBK" w:hAnsi="方正仿宋_GBK" w:eastAsia="方正仿宋_GBK" w:cs="方正仿宋_GBK"/>
          <w:kern w:val="0"/>
          <w:lang w:eastAsia="zh-CN"/>
        </w:rPr>
        <w:t>推广</w:t>
      </w:r>
      <w:r>
        <w:rPr>
          <w:rFonts w:hint="eastAsia" w:ascii="方正仿宋_GBK" w:hAnsi="方正仿宋_GBK" w:eastAsia="方正仿宋_GBK" w:cs="方正仿宋_GBK"/>
          <w:kern w:val="0"/>
        </w:rPr>
        <w:t>主要农产品产地初加工、智能筛选与绿色贮藏、节能烘干等产后减损关键技术及设备。开发多功能多元化加工制品，促进食品加工业与畜产品加工业的技术进步和产业升级。</w:t>
      </w:r>
    </w:p>
    <w:p>
      <w:pPr>
        <w:pStyle w:val="18"/>
        <w:rPr>
          <w:rFonts w:hint="eastAsia"/>
        </w:rPr>
      </w:pPr>
    </w:p>
    <w:tbl>
      <w:tblPr>
        <w:tblStyle w:val="24"/>
        <w:tblW w:w="83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3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1" w:hRule="atLeast"/>
          <w:jc w:val="center"/>
        </w:trPr>
        <w:tc>
          <w:tcPr>
            <w:tcW w:w="8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专栏6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农产品流通贮藏与加工增值技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术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农产品收储保质和冷链物流技术与装备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重点开展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果蔬产地预冷技术和设施研究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。推广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农产品产地预冷、预处理和商品化处理技术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农产品物流环节保鲜技术与装备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特殊膳食食品加工技术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筛选功能因子含量高、活性强的优质原粮；研究集成挤压膨化、功能发酵、超微粉碎、营养复配等关键加工技术；开发休闲方便食品、冲调粉、口服液、黄酒等适口性好的功能性食品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</w:tr>
    </w:tbl>
    <w:p>
      <w:pPr>
        <w:pStyle w:val="2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bidi w:val="0"/>
        <w:spacing w:before="0" w:beforeAutospacing="0" w:after="0" w:afterAutospacing="0" w:line="600" w:lineRule="exact"/>
        <w:ind w:left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bookmarkStart w:id="141" w:name="_Toc8626"/>
      <w:bookmarkStart w:id="142" w:name="_Toc1390"/>
      <w:bookmarkStart w:id="143" w:name="_Toc4568"/>
      <w:bookmarkStart w:id="144" w:name="_Toc10187"/>
      <w:bookmarkStart w:id="145" w:name="_Toc249"/>
    </w:p>
    <w:p>
      <w:pPr>
        <w:pStyle w:val="2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bidi w:val="0"/>
        <w:spacing w:before="0" w:beforeAutospacing="0" w:after="0" w:afterAutospacing="0" w:line="600" w:lineRule="exact"/>
        <w:ind w:left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</w:p>
    <w:p>
      <w:pPr>
        <w:pStyle w:val="2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bidi w:val="0"/>
        <w:spacing w:before="0" w:beforeAutospacing="0" w:after="0" w:afterAutospacing="0" w:line="600" w:lineRule="exact"/>
        <w:ind w:left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</w:p>
    <w:p>
      <w:pPr>
        <w:pStyle w:val="2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bidi w:val="0"/>
        <w:spacing w:before="0" w:beforeAutospacing="0" w:after="0" w:afterAutospacing="0" w:line="600" w:lineRule="exact"/>
        <w:ind w:left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（六）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重大风险与灾害防控科技支撑行动</w:t>
      </w:r>
      <w:bookmarkEnd w:id="141"/>
      <w:bookmarkEnd w:id="142"/>
      <w:bookmarkEnd w:id="143"/>
      <w:bookmarkEnd w:id="144"/>
      <w:bookmarkEnd w:id="145"/>
    </w:p>
    <w:p>
      <w:pPr>
        <w:pStyle w:val="2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bidi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开展灾害监测预警与影响评估技术研究，构建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农业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气象灾害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监测预警信息服务系统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构建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农作物重大病虫害精准监测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体系，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集成推广农作物病虫害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综合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防控技术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。构建动物重大疫病监测预警体系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，集成推广规模养殖场生物安全技术、非洲猪瘟等疫病无疫小区技术、布病等动物疫病净化技术。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开发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外来入侵物种精准识别快速检测和监测预警技术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20"/>
        <w:pageBreakBefore w:val="0"/>
        <w:numPr>
          <w:ilvl w:val="0"/>
          <w:numId w:val="0"/>
        </w:numPr>
        <w:shd w:val="clear" w:color="auto" w:fill="FFFFFF"/>
        <w:kinsoku/>
        <w:overflowPunct/>
        <w:topLinePunct w:val="0"/>
        <w:bidi w:val="0"/>
        <w:spacing w:before="0" w:beforeAutospacing="0" w:after="0" w:afterAutospacing="0"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tbl>
      <w:tblPr>
        <w:tblStyle w:val="24"/>
        <w:tblW w:w="83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3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1" w:hRule="atLeast"/>
          <w:jc w:val="center"/>
        </w:trPr>
        <w:tc>
          <w:tcPr>
            <w:tcW w:w="8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80" w:leftChars="25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专栏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7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重大风险防控集成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80" w:leftChars="25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80" w:leftChars="25"/>
              <w:jc w:val="left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.农作物重大病虫害综合防控技术。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针对近年草地贪夜蛾、小麦条锈病、马铃薯晚疫病等重大病虫害问题，集成推广重大病虫智能化监测预警技术、重大病虫科学用药技术、农作物病虫害防控关键技术、农作物重大病虫害综合防控技术模式，有效控制农业重大病虫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果蔬病虫害全程绿色防控技术。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针对果蔬病虫害发生逐年加重问题，集成推广果蔬病虫害农业防治技术、果蔬病虫害理化诱控技术、果蔬病虫害生物防治技术、果蔬病虫害科学用药技术、果蔬病虫害全程绿色防控技术模式等全程绿色防控技术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3.规模养殖场重大动物疫病综合防控与净化技术。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针对非洲猪瘟、布病等重大动物疫病防控形势严峻问题，集成推广规模养殖场生物安全技术、非洲猪瘟等疫病无疫小区技术、布病等动物疫病净化技术、规模养殖场选址布局、饲养管理、免疫接种、诊断监测、清洗消毒、病死畜禽无害化处理等综合防控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80" w:leftChars="25"/>
              <w:jc w:val="left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4.外来入侵物种防控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在农田、渔业水域等区域开展外来入侵物种普查与防控，研制外来入侵物种管理名录，建设外来入侵物种数据库，构建重大危害入侵物种防控技术体系,制定外来入侵物种应急预案。   </w:t>
            </w:r>
          </w:p>
        </w:tc>
      </w:tr>
    </w:tbl>
    <w:p>
      <w:pPr>
        <w:pageBreakBefore w:val="0"/>
        <w:kinsoku/>
        <w:overflowPunct/>
        <w:topLinePunct w:val="0"/>
        <w:bidi w:val="0"/>
        <w:spacing w:line="600" w:lineRule="exact"/>
        <w:ind w:firstLine="642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lang w:eastAsia="zh-CN"/>
        </w:rPr>
      </w:pPr>
      <w:bookmarkStart w:id="146" w:name="_Toc14417"/>
      <w:bookmarkStart w:id="147" w:name="_Toc29700"/>
      <w:bookmarkStart w:id="148" w:name="_Toc13914"/>
      <w:bookmarkStart w:id="149" w:name="_Toc1003"/>
      <w:bookmarkStart w:id="150" w:name="_Hlk106051513"/>
    </w:p>
    <w:p>
      <w:pPr>
        <w:pageBreakBefore w:val="0"/>
        <w:kinsoku/>
        <w:overflowPunct/>
        <w:topLinePunct w:val="0"/>
        <w:bidi w:val="0"/>
        <w:spacing w:line="600" w:lineRule="exact"/>
        <w:ind w:firstLine="642" w:firstLineChars="200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</w:rPr>
      </w:pPr>
      <w:bookmarkStart w:id="151" w:name="_Toc9632"/>
      <w:r>
        <w:rPr>
          <w:rFonts w:hint="eastAsia" w:ascii="方正楷体_GBK" w:hAnsi="方正楷体_GBK" w:eastAsia="方正楷体_GBK" w:cs="方正楷体_GBK"/>
          <w:b/>
          <w:bCs/>
          <w:lang w:eastAsia="zh-CN"/>
        </w:rPr>
        <w:t>（七）</w:t>
      </w:r>
      <w:r>
        <w:rPr>
          <w:rFonts w:hint="eastAsia" w:ascii="方正楷体_GBK" w:hAnsi="方正楷体_GBK" w:eastAsia="方正楷体_GBK" w:cs="方正楷体_GBK"/>
          <w:b/>
          <w:bCs/>
        </w:rPr>
        <w:t>乡村综合治理科技支撑行动</w:t>
      </w:r>
      <w:bookmarkEnd w:id="146"/>
      <w:bookmarkEnd w:id="147"/>
      <w:bookmarkEnd w:id="148"/>
      <w:bookmarkEnd w:id="149"/>
      <w:bookmarkEnd w:id="151"/>
    </w:p>
    <w:p>
      <w:pPr>
        <w:pStyle w:val="18"/>
        <w:pageBreakBefore w:val="0"/>
        <w:numPr>
          <w:ilvl w:val="0"/>
          <w:numId w:val="0"/>
        </w:numPr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</w:rPr>
        <w:t>建立我省乡村高质量发展的技术支撑体系，重点支持乡村环境综合治理技术、乡村数字化治理技术等研究，因地制宜研发集成和熟化推广农村生物质能源综合利用、生活垃圾与生活污水处理、农村新模式新业态融合等关键技术与模式</w:t>
      </w:r>
      <w:r>
        <w:rPr>
          <w:rFonts w:hint="eastAsia" w:ascii="方正仿宋_GBK" w:hAnsi="方正仿宋_GBK" w:eastAsia="方正仿宋_GBK" w:cs="方正仿宋_GBK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</w:rPr>
        <w:t>打造一批宜居宜业美丽乡村示范样板</w:t>
      </w:r>
      <w:r>
        <w:rPr>
          <w:rFonts w:hint="eastAsia" w:ascii="方正仿宋_GBK" w:hAnsi="方正仿宋_GBK" w:eastAsia="方正仿宋_GBK" w:cs="方正仿宋_GBK"/>
          <w:lang w:eastAsia="zh-CN"/>
        </w:rPr>
        <w:t>。支持研究</w:t>
      </w:r>
      <w:r>
        <w:rPr>
          <w:rFonts w:hint="eastAsia" w:ascii="方正仿宋_GBK" w:hAnsi="方正仿宋_GBK" w:eastAsia="方正仿宋_GBK" w:cs="方正仿宋_GBK"/>
        </w:rPr>
        <w:t>智能感知、模型模拟、智能控制等关键技术，加快新一代信息技术与农业生产经营深度融合。</w:t>
      </w:r>
    </w:p>
    <w:tbl>
      <w:tblPr>
        <w:tblStyle w:val="24"/>
        <w:tblW w:w="83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3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1" w:hRule="atLeast"/>
          <w:jc w:val="center"/>
        </w:trPr>
        <w:tc>
          <w:tcPr>
            <w:tcW w:w="8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80" w:leftChars="25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80" w:leftChars="25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专栏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8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美丽乡村系统治理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80" w:leftChars="25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1.乡村环境综合治理技术：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推广农村垃圾集中处理技术装备及模式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推广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寒旱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地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区农村改厕及粪污资源化利用技术,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引进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低成本、易维护、高效率农村改厕技术设备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推广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生物质燃料清洁高效直燃技术与低氮燃烧专用锅炉装备。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数字乡村：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建设山西省农业农村大数据省级中心及市级分中心，整合遥感、土地利用、基本农田、基础地理及乡村治理等涉农数据资源，构建全省农业农村数据资源“一张图”。</w:t>
            </w:r>
          </w:p>
        </w:tc>
      </w:tr>
      <w:bookmarkEnd w:id="150"/>
    </w:tbl>
    <w:p>
      <w:pPr>
        <w:pageBreakBefore w:val="0"/>
        <w:kinsoku/>
        <w:overflowPunct/>
        <w:topLinePunct w:val="0"/>
        <w:bidi w:val="0"/>
        <w:spacing w:line="600" w:lineRule="exact"/>
        <w:textAlignment w:val="auto"/>
        <w:outlineLvl w:val="9"/>
        <w:rPr>
          <w:rFonts w:hint="eastAsia" w:ascii="黑体" w:hAnsi="黑体" w:eastAsia="黑体" w:cs="黑体"/>
          <w:smallCaps w:val="0"/>
          <w:kern w:val="44"/>
          <w:lang w:val="en-US" w:eastAsia="zh-CN"/>
        </w:rPr>
      </w:pPr>
      <w:bookmarkStart w:id="152" w:name="_Toc9423"/>
      <w:bookmarkStart w:id="153" w:name="_Toc950519256_WPSOffice_Level1"/>
      <w:bookmarkStart w:id="154" w:name="_Toc9860"/>
      <w:bookmarkStart w:id="155" w:name="_Toc13359"/>
      <w:bookmarkStart w:id="156" w:name="_Toc1924007928_WPSOffice_Level1"/>
      <w:bookmarkStart w:id="157" w:name="_Toc1888136833_WPSOffice_Level1"/>
      <w:bookmarkStart w:id="158" w:name="_Toc370024224_WPSOffice_Level1"/>
      <w:bookmarkStart w:id="159" w:name="_Toc24638"/>
      <w:bookmarkStart w:id="160" w:name="_Toc19164"/>
    </w:p>
    <w:p>
      <w:pPr>
        <w:pageBreakBefore w:val="0"/>
        <w:kinsoku/>
        <w:overflowPunct/>
        <w:topLinePunct w:val="0"/>
        <w:bidi w:val="0"/>
        <w:spacing w:line="600" w:lineRule="exact"/>
        <w:ind w:left="0" w:leftChars="0" w:firstLine="960" w:firstLineChars="300"/>
        <w:textAlignment w:val="auto"/>
        <w:outlineLvl w:val="9"/>
        <w:rPr>
          <w:rFonts w:ascii="黑体" w:hAnsi="黑体" w:eastAsia="黑体" w:cs="黑体"/>
          <w:smallCaps w:val="0"/>
          <w:kern w:val="44"/>
        </w:rPr>
      </w:pPr>
      <w:r>
        <w:rPr>
          <w:rFonts w:hint="eastAsia" w:ascii="黑体" w:hAnsi="黑体" w:eastAsia="黑体" w:cs="黑体"/>
          <w:smallCaps w:val="0"/>
          <w:kern w:val="44"/>
          <w:lang w:val="en-US" w:eastAsia="zh-CN"/>
        </w:rPr>
        <w:t>五</w:t>
      </w:r>
      <w:r>
        <w:rPr>
          <w:rFonts w:hint="eastAsia" w:ascii="黑体" w:hAnsi="黑体" w:eastAsia="黑体" w:cs="黑体"/>
          <w:smallCaps w:val="0"/>
          <w:kern w:val="44"/>
        </w:rPr>
        <w:t>、保障措施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Start w:id="161" w:name="_Toc5116"/>
    </w:p>
    <w:p>
      <w:pPr>
        <w:pStyle w:val="5"/>
        <w:keepNext w:val="0"/>
        <w:keepLines w:val="0"/>
        <w:pageBreakBefore w:val="0"/>
        <w:kinsoku/>
        <w:overflowPunct/>
        <w:topLinePunct w:val="0"/>
        <w:bidi w:val="0"/>
        <w:spacing w:before="0" w:after="0" w:line="600" w:lineRule="exact"/>
        <w:ind w:firstLine="642" w:firstLineChars="200"/>
        <w:textAlignment w:val="auto"/>
        <w:outlineLvl w:val="9"/>
        <w:rPr>
          <w:rFonts w:hint="eastAsia" w:ascii="方正楷体_GBK" w:hAnsi="方正楷体_GBK" w:eastAsia="方正楷体_GBK" w:cs="方正楷体_GBK"/>
        </w:rPr>
      </w:pPr>
      <w:bookmarkStart w:id="162" w:name="_Toc197147211_WPSOffice_Level2"/>
      <w:bookmarkStart w:id="163" w:name="_Toc1286905732_WPSOffice_Level2"/>
      <w:bookmarkStart w:id="164" w:name="_Toc24874"/>
      <w:bookmarkStart w:id="165" w:name="_Toc16733"/>
      <w:bookmarkStart w:id="166" w:name="_Toc633615093_WPSOffice_Level2"/>
      <w:bookmarkStart w:id="167" w:name="_Toc779666622_WPSOffice_Level2"/>
      <w:bookmarkStart w:id="168" w:name="_Toc18045"/>
      <w:bookmarkStart w:id="169" w:name="_Toc2114"/>
      <w:bookmarkStart w:id="170" w:name="_Toc13778"/>
      <w:r>
        <w:rPr>
          <w:rFonts w:hint="eastAsia" w:ascii="方正楷体_GBK" w:hAnsi="方正楷体_GBK" w:eastAsia="方正楷体_GBK" w:cs="方正楷体_GBK"/>
        </w:rPr>
        <w:t>（一）强化组织领导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>
      <w:pPr>
        <w:pStyle w:val="10"/>
        <w:pageBreakBefore w:val="0"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各地</w:t>
      </w:r>
      <w:r>
        <w:rPr>
          <w:rFonts w:hint="eastAsia" w:ascii="方正仿宋_GBK" w:hAnsi="方正仿宋_GBK" w:eastAsia="方正仿宋_GBK" w:cs="方正仿宋_GBK"/>
        </w:rPr>
        <w:t>要把农业农村科技创新摆在更加突出和优先位置,强化对农业科技工作的领导。</w:t>
      </w:r>
      <w:bookmarkStart w:id="171" w:name="_Toc936"/>
      <w:r>
        <w:rPr>
          <w:rFonts w:hint="eastAsia" w:ascii="方正仿宋_GBK" w:hAnsi="方正仿宋_GBK" w:eastAsia="方正仿宋_GBK" w:cs="方正仿宋_GBK"/>
        </w:rPr>
        <w:t>要做好重大任务的分解和落实，积极开展特色鲜明、各有侧重的农业科技创新。要建立规划落实的工作责任制，</w:t>
      </w:r>
      <w:r>
        <w:rPr>
          <w:rFonts w:hint="eastAsia" w:ascii="方正仿宋_GBK" w:hAnsi="方正仿宋_GBK" w:eastAsia="方正仿宋_GBK" w:cs="方正仿宋_GBK"/>
          <w:lang w:val="en-US" w:eastAsia="zh-CN"/>
        </w:rPr>
        <w:t>加强</w:t>
      </w:r>
      <w:r>
        <w:rPr>
          <w:rFonts w:hint="eastAsia" w:ascii="方正仿宋_GBK" w:hAnsi="方正仿宋_GBK" w:eastAsia="方正仿宋_GBK" w:cs="方正仿宋_GBK"/>
        </w:rPr>
        <w:t>规划实施督导和检查，为创新驱动农业农村高质量发展提供有力组织保障。</w:t>
      </w:r>
      <w:bookmarkStart w:id="172" w:name="_Toc953484865_WPSOffice_Level2"/>
    </w:p>
    <w:p>
      <w:pPr>
        <w:pStyle w:val="10"/>
        <w:pageBreakBefore w:val="0"/>
        <w:kinsoku/>
        <w:overflowPunct/>
        <w:topLinePunct w:val="0"/>
        <w:bidi w:val="0"/>
        <w:spacing w:line="600" w:lineRule="exact"/>
        <w:ind w:firstLine="642" w:firstLineChars="200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lang w:val="en-US" w:eastAsia="zh-CN"/>
        </w:rPr>
      </w:pPr>
      <w:bookmarkStart w:id="173" w:name="_Toc2037556118_WPSOffice_Level2"/>
      <w:bookmarkStart w:id="174" w:name="_Toc957073160_WPSOffice_Level2"/>
      <w:bookmarkStart w:id="175" w:name="_Toc28308"/>
      <w:bookmarkStart w:id="176" w:name="_Toc30328"/>
      <w:bookmarkStart w:id="177" w:name="_Toc19732"/>
      <w:bookmarkStart w:id="178" w:name="_Toc1495216278_WPSOffice_Level2"/>
      <w:bookmarkStart w:id="179" w:name="_Toc80"/>
      <w:bookmarkStart w:id="180" w:name="_Toc9409"/>
      <w:r>
        <w:rPr>
          <w:rFonts w:hint="eastAsia" w:ascii="方正楷体_GBK" w:hAnsi="方正楷体_GBK" w:eastAsia="方正楷体_GBK" w:cs="方正楷体_GBK"/>
          <w:b/>
          <w:bCs/>
        </w:rPr>
        <w:t>（二）强化</w:t>
      </w:r>
      <w:bookmarkEnd w:id="172"/>
      <w:bookmarkEnd w:id="173"/>
      <w:bookmarkEnd w:id="174"/>
      <w:bookmarkEnd w:id="175"/>
      <w:bookmarkEnd w:id="176"/>
      <w:bookmarkEnd w:id="177"/>
      <w:bookmarkEnd w:id="178"/>
      <w:r>
        <w:rPr>
          <w:rFonts w:hint="eastAsia" w:ascii="方正楷体_GBK" w:hAnsi="方正楷体_GBK" w:eastAsia="方正楷体_GBK" w:cs="方正楷体_GBK"/>
          <w:b/>
          <w:bCs/>
          <w:lang w:val="en-US" w:eastAsia="zh-CN"/>
        </w:rPr>
        <w:t>统筹协调</w:t>
      </w:r>
      <w:bookmarkEnd w:id="179"/>
      <w:bookmarkEnd w:id="180"/>
    </w:p>
    <w:p>
      <w:pPr>
        <w:pStyle w:val="20"/>
        <w:pageBreakBefore w:val="0"/>
        <w:shd w:val="clear" w:color="auto" w:fill="FFFFFF"/>
        <w:kinsoku/>
        <w:wordWrap w:val="0"/>
        <w:overflowPunct/>
        <w:topLinePunct w:val="0"/>
        <w:bidi w:val="0"/>
        <w:spacing w:before="0" w:beforeAutospacing="0" w:after="0" w:afterAutospacing="0" w:line="600" w:lineRule="exact"/>
        <w:ind w:firstLine="739" w:firstLineChars="231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各地要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建立健全农业农村科技优先发展的政策支持体系，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协调推进各有关部门互联互动，支持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科技研发、技术推广、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农民培训、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主体培育</w:t>
      </w:r>
      <w:bookmarkStart w:id="181" w:name="_Toc361437679_WPSOffice_Level2"/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促进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 xml:space="preserve">农业科技优势转化为产业优势和经济优势。 </w:t>
      </w:r>
    </w:p>
    <w:p>
      <w:pPr>
        <w:pStyle w:val="20"/>
        <w:pageBreakBefore w:val="0"/>
        <w:shd w:val="clear" w:color="auto" w:fill="FFFFFF"/>
        <w:kinsoku/>
        <w:wordWrap w:val="0"/>
        <w:overflowPunct/>
        <w:topLinePunct w:val="0"/>
        <w:bidi w:val="0"/>
        <w:spacing w:before="0" w:beforeAutospacing="0" w:after="0" w:afterAutospacing="0" w:line="600" w:lineRule="exact"/>
        <w:ind w:left="640" w:left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</w:rPr>
      </w:pPr>
      <w:bookmarkStart w:id="182" w:name="_Toc1038863846_WPSOffice_Level2"/>
      <w:bookmarkStart w:id="183" w:name="_Toc1309951533_WPSOffice_Level2"/>
      <w:bookmarkStart w:id="184" w:name="_Toc32518"/>
      <w:bookmarkStart w:id="185" w:name="_Toc1653800635_WPSOffice_Level2"/>
      <w:bookmarkStart w:id="186" w:name="_Toc11392"/>
      <w:bookmarkStart w:id="187" w:name="_Toc4856"/>
      <w:bookmarkStart w:id="188" w:name="_Toc7378"/>
      <w:bookmarkStart w:id="189" w:name="_Toc13719"/>
    </w:p>
    <w:p>
      <w:pPr>
        <w:pStyle w:val="20"/>
        <w:pageBreakBefore w:val="0"/>
        <w:shd w:val="clear" w:color="auto" w:fill="FFFFFF"/>
        <w:kinsoku/>
        <w:wordWrap w:val="0"/>
        <w:overflowPunct/>
        <w:topLinePunct w:val="0"/>
        <w:bidi w:val="0"/>
        <w:spacing w:before="0" w:beforeAutospacing="0" w:after="0" w:afterAutospacing="0" w:line="600" w:lineRule="exact"/>
        <w:ind w:left="640" w:left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</w:rPr>
      </w:pPr>
    </w:p>
    <w:p>
      <w:pPr>
        <w:pStyle w:val="20"/>
        <w:pageBreakBefore w:val="0"/>
        <w:shd w:val="clear" w:color="auto" w:fill="FFFFFF"/>
        <w:kinsoku/>
        <w:wordWrap w:val="0"/>
        <w:overflowPunct/>
        <w:topLinePunct w:val="0"/>
        <w:bidi w:val="0"/>
        <w:spacing w:before="0" w:beforeAutospacing="0" w:after="0" w:afterAutospacing="0" w:line="600" w:lineRule="exact"/>
        <w:ind w:left="640" w:left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</w:rPr>
        <w:t>（三）发布科技</w:t>
      </w:r>
      <w:bookmarkEnd w:id="181"/>
      <w:bookmarkEnd w:id="182"/>
      <w:bookmarkEnd w:id="183"/>
      <w:bookmarkEnd w:id="184"/>
      <w:bookmarkEnd w:id="185"/>
      <w:bookmarkEnd w:id="186"/>
      <w:bookmarkEnd w:id="187"/>
      <w:r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  <w:lang w:val="en-US" w:eastAsia="zh-CN"/>
        </w:rPr>
        <w:t>需求</w:t>
      </w:r>
      <w:bookmarkEnd w:id="188"/>
      <w:bookmarkEnd w:id="189"/>
    </w:p>
    <w:bookmarkEnd w:id="171"/>
    <w:p>
      <w:pPr>
        <w:pStyle w:val="20"/>
        <w:pageBreakBefore w:val="0"/>
        <w:shd w:val="clear" w:color="auto" w:fill="FFFFFF"/>
        <w:kinsoku/>
        <w:wordWrap w:val="0"/>
        <w:overflowPunct/>
        <w:topLinePunct w:val="0"/>
        <w:bidi w:val="0"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bookmarkStart w:id="190" w:name="_Toc9264"/>
      <w:bookmarkStart w:id="191" w:name="_Toc1390833060_WPSOffice_Level2"/>
      <w:bookmarkStart w:id="192" w:name="_Toc841"/>
      <w:bookmarkStart w:id="193" w:name="_Toc133251816_WPSOffice_Level2"/>
      <w:bookmarkStart w:id="194" w:name="_Toc25284"/>
      <w:bookmarkStart w:id="195" w:name="_Toc21956"/>
      <w:bookmarkStart w:id="196" w:name="_Toc1676142071_WPSOffice_Level2"/>
      <w:bookmarkStart w:id="197" w:name="_Toc2032577514_WPSOffice_Level2"/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充分发挥省农业农村厅重大科技创新组织者的作用,确定农业科技创新方向和重点,组织遴选并发布全省重大农业科技需求,针对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农业农村高质量发展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薄弱环节,着力解决制约安全与发展的重大科技难题。</w:t>
      </w:r>
      <w:bookmarkEnd w:id="190"/>
    </w:p>
    <w:p>
      <w:pPr>
        <w:pStyle w:val="20"/>
        <w:pageBreakBefore w:val="0"/>
        <w:shd w:val="clear" w:color="auto" w:fill="FFFFFF"/>
        <w:kinsoku/>
        <w:wordWrap w:val="0"/>
        <w:overflowPunct/>
        <w:topLinePunct w:val="0"/>
        <w:bidi w:val="0"/>
        <w:spacing w:before="0" w:beforeAutospacing="0" w:after="0" w:afterAutospacing="0" w:line="600" w:lineRule="exact"/>
        <w:ind w:left="640" w:left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</w:rPr>
      </w:pPr>
      <w:bookmarkStart w:id="198" w:name="_Toc13738"/>
      <w:bookmarkStart w:id="199" w:name="_Toc6467"/>
      <w:r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</w:rPr>
        <w:t>（四）强化资金支持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>
      <w:pPr>
        <w:pStyle w:val="20"/>
        <w:pageBreakBefore w:val="0"/>
        <w:shd w:val="clear" w:color="auto" w:fill="FFFFFF"/>
        <w:kinsoku/>
        <w:wordWrap w:val="0"/>
        <w:overflowPunct/>
        <w:topLinePunct w:val="0"/>
        <w:bidi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持续加大财政投入强度，推动农业农村科技研发投入占农业总产值比重逐年提高。提高公益性农业科研院所与基层农技推广机构经费保障水平。强化科技金融,加大向高素质农民、农业科技企业的倾斜力度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鼓励社会资本进入农业创新领域，推动形成稳定、多元、高效的农业农村科技投入机制。</w:t>
      </w:r>
      <w:bookmarkStart w:id="200" w:name="_GoBack"/>
      <w:bookmarkEnd w:id="200"/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true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4.6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CRxltl0AAAAAIBAAAPAAAAAAAAAAEAIAAAADgAAABkcnMvZG93bnJl&#10;di54bWxQSwECFAAUAAAACACHTuJAzgcFyu8BAACzAwAADgAAAAAAAAABACAAAAA1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32"/>
    <w:multiLevelType w:val="singleLevel"/>
    <w:tmpl w:val="00000032"/>
    <w:lvl w:ilvl="0" w:tentative="0">
      <w:start w:val="1"/>
      <w:numFmt w:val="decimal"/>
      <w:pStyle w:val="7"/>
      <w:suff w:val="nothing"/>
      <w:lvlText w:val="(%1)"/>
      <w:lvlJc w:val="left"/>
      <w:pPr>
        <w:tabs>
          <w:tab w:val="left" w:pos="0"/>
        </w:tabs>
      </w:pPr>
      <w:rPr>
        <w:rFonts w:hint="default" w:eastAsia="仿宋_GB2312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5ZmY5M2QzYmMzZmU3Yzg5NTk0MTA3MjI4MWIxNDAifQ=="/>
  </w:docVars>
  <w:rsids>
    <w:rsidRoot w:val="007006F2"/>
    <w:rsid w:val="0001470C"/>
    <w:rsid w:val="00131CCC"/>
    <w:rsid w:val="00157442"/>
    <w:rsid w:val="001B6B23"/>
    <w:rsid w:val="00317DF0"/>
    <w:rsid w:val="003614DF"/>
    <w:rsid w:val="00366832"/>
    <w:rsid w:val="00426DC7"/>
    <w:rsid w:val="00493984"/>
    <w:rsid w:val="004A2E1A"/>
    <w:rsid w:val="00502706"/>
    <w:rsid w:val="00573442"/>
    <w:rsid w:val="005940EC"/>
    <w:rsid w:val="005A1803"/>
    <w:rsid w:val="005C36C7"/>
    <w:rsid w:val="005D700C"/>
    <w:rsid w:val="0064781A"/>
    <w:rsid w:val="006F6C17"/>
    <w:rsid w:val="007006F2"/>
    <w:rsid w:val="00732C07"/>
    <w:rsid w:val="007541C0"/>
    <w:rsid w:val="00761F14"/>
    <w:rsid w:val="007B28EC"/>
    <w:rsid w:val="008222D0"/>
    <w:rsid w:val="00824EFF"/>
    <w:rsid w:val="008C0246"/>
    <w:rsid w:val="008C20C8"/>
    <w:rsid w:val="008D01CC"/>
    <w:rsid w:val="009104AD"/>
    <w:rsid w:val="009E008B"/>
    <w:rsid w:val="00A25DAB"/>
    <w:rsid w:val="00A461A4"/>
    <w:rsid w:val="00B00746"/>
    <w:rsid w:val="00B5241A"/>
    <w:rsid w:val="00B527DD"/>
    <w:rsid w:val="00B7467C"/>
    <w:rsid w:val="00BF39A7"/>
    <w:rsid w:val="00C71681"/>
    <w:rsid w:val="00CB7639"/>
    <w:rsid w:val="00CE1E05"/>
    <w:rsid w:val="00D71749"/>
    <w:rsid w:val="00DD23A4"/>
    <w:rsid w:val="00DE3936"/>
    <w:rsid w:val="00E04B71"/>
    <w:rsid w:val="00ED7401"/>
    <w:rsid w:val="00EF60F9"/>
    <w:rsid w:val="00F5057C"/>
    <w:rsid w:val="00FB21AC"/>
    <w:rsid w:val="00FB6950"/>
    <w:rsid w:val="01CC38E9"/>
    <w:rsid w:val="04117BDE"/>
    <w:rsid w:val="0433639E"/>
    <w:rsid w:val="04DB5F0E"/>
    <w:rsid w:val="0534571F"/>
    <w:rsid w:val="05691AC0"/>
    <w:rsid w:val="05CF73D2"/>
    <w:rsid w:val="080A2A84"/>
    <w:rsid w:val="08B27BC5"/>
    <w:rsid w:val="08F93A4B"/>
    <w:rsid w:val="0A42273F"/>
    <w:rsid w:val="0A6217E2"/>
    <w:rsid w:val="0AF13514"/>
    <w:rsid w:val="0B0933C5"/>
    <w:rsid w:val="0B892B09"/>
    <w:rsid w:val="0C52136D"/>
    <w:rsid w:val="0D3A6341"/>
    <w:rsid w:val="0DB02FC9"/>
    <w:rsid w:val="0E714E9A"/>
    <w:rsid w:val="0E746167"/>
    <w:rsid w:val="0EC9104B"/>
    <w:rsid w:val="0ECB0709"/>
    <w:rsid w:val="0FE77DA4"/>
    <w:rsid w:val="107F5ED3"/>
    <w:rsid w:val="116268CC"/>
    <w:rsid w:val="14AF02C3"/>
    <w:rsid w:val="1550687E"/>
    <w:rsid w:val="15AF2F5E"/>
    <w:rsid w:val="17BEB8B7"/>
    <w:rsid w:val="18605F61"/>
    <w:rsid w:val="19AA51B8"/>
    <w:rsid w:val="19BF09F7"/>
    <w:rsid w:val="1A1B72BB"/>
    <w:rsid w:val="1A485057"/>
    <w:rsid w:val="1A7B743A"/>
    <w:rsid w:val="1BE96FAA"/>
    <w:rsid w:val="1C1A12A7"/>
    <w:rsid w:val="1D6818E6"/>
    <w:rsid w:val="1EC9295D"/>
    <w:rsid w:val="1EF76951"/>
    <w:rsid w:val="211D551A"/>
    <w:rsid w:val="23EA36A8"/>
    <w:rsid w:val="246A0CB4"/>
    <w:rsid w:val="24DA768E"/>
    <w:rsid w:val="252F1B84"/>
    <w:rsid w:val="257035D5"/>
    <w:rsid w:val="25E918DC"/>
    <w:rsid w:val="264C62DF"/>
    <w:rsid w:val="27771E32"/>
    <w:rsid w:val="277A30B7"/>
    <w:rsid w:val="28C474DC"/>
    <w:rsid w:val="294169A6"/>
    <w:rsid w:val="2BAD19E8"/>
    <w:rsid w:val="2E095B4A"/>
    <w:rsid w:val="305D5A84"/>
    <w:rsid w:val="309C5CB9"/>
    <w:rsid w:val="31216CFB"/>
    <w:rsid w:val="31AF0AAF"/>
    <w:rsid w:val="33C04774"/>
    <w:rsid w:val="34820D14"/>
    <w:rsid w:val="34A663B8"/>
    <w:rsid w:val="36AD3737"/>
    <w:rsid w:val="36E73F4A"/>
    <w:rsid w:val="37521FBC"/>
    <w:rsid w:val="37FD360D"/>
    <w:rsid w:val="38431BFB"/>
    <w:rsid w:val="3857F763"/>
    <w:rsid w:val="38FE9D91"/>
    <w:rsid w:val="39306131"/>
    <w:rsid w:val="398A77D5"/>
    <w:rsid w:val="3A8C28E0"/>
    <w:rsid w:val="3A9665F1"/>
    <w:rsid w:val="3BA94E22"/>
    <w:rsid w:val="3CD7A8CC"/>
    <w:rsid w:val="3D687089"/>
    <w:rsid w:val="3DDBC36F"/>
    <w:rsid w:val="3FFB7F7F"/>
    <w:rsid w:val="400A7364"/>
    <w:rsid w:val="401A4053"/>
    <w:rsid w:val="41537A69"/>
    <w:rsid w:val="41D11EAB"/>
    <w:rsid w:val="41E655B6"/>
    <w:rsid w:val="43B11673"/>
    <w:rsid w:val="43FC4A77"/>
    <w:rsid w:val="45A47C79"/>
    <w:rsid w:val="474F38DB"/>
    <w:rsid w:val="47FEC041"/>
    <w:rsid w:val="480108C2"/>
    <w:rsid w:val="48533391"/>
    <w:rsid w:val="48BE1ED8"/>
    <w:rsid w:val="49A00C8C"/>
    <w:rsid w:val="49E613EB"/>
    <w:rsid w:val="4A5971AB"/>
    <w:rsid w:val="4B1621A0"/>
    <w:rsid w:val="4B5B0725"/>
    <w:rsid w:val="4BFF5781"/>
    <w:rsid w:val="4D052F51"/>
    <w:rsid w:val="4E4A7B4F"/>
    <w:rsid w:val="4E7FDFF7"/>
    <w:rsid w:val="4FB918AB"/>
    <w:rsid w:val="4FC71D37"/>
    <w:rsid w:val="4FE3D458"/>
    <w:rsid w:val="50153FA0"/>
    <w:rsid w:val="50D2381E"/>
    <w:rsid w:val="511E0A73"/>
    <w:rsid w:val="51AB57F7"/>
    <w:rsid w:val="53BD4764"/>
    <w:rsid w:val="540E45C8"/>
    <w:rsid w:val="564C258F"/>
    <w:rsid w:val="56562D70"/>
    <w:rsid w:val="5699E558"/>
    <w:rsid w:val="569B6F62"/>
    <w:rsid w:val="56FF1909"/>
    <w:rsid w:val="573C748D"/>
    <w:rsid w:val="57FF9075"/>
    <w:rsid w:val="58516502"/>
    <w:rsid w:val="5942759E"/>
    <w:rsid w:val="59758CB1"/>
    <w:rsid w:val="5A6BAFC6"/>
    <w:rsid w:val="5AA61171"/>
    <w:rsid w:val="5AA72546"/>
    <w:rsid w:val="5AF44120"/>
    <w:rsid w:val="5B4908D6"/>
    <w:rsid w:val="5C0941A5"/>
    <w:rsid w:val="5C122608"/>
    <w:rsid w:val="5D8D92BE"/>
    <w:rsid w:val="5DFBB878"/>
    <w:rsid w:val="5E7F881D"/>
    <w:rsid w:val="5F9D1A29"/>
    <w:rsid w:val="5FCFB3AD"/>
    <w:rsid w:val="5FDFFA7A"/>
    <w:rsid w:val="5FE60719"/>
    <w:rsid w:val="5FFDE497"/>
    <w:rsid w:val="618D0C4A"/>
    <w:rsid w:val="63FB714F"/>
    <w:rsid w:val="65382D70"/>
    <w:rsid w:val="65802735"/>
    <w:rsid w:val="660B0ADD"/>
    <w:rsid w:val="66611F9F"/>
    <w:rsid w:val="66694F71"/>
    <w:rsid w:val="66AA2C87"/>
    <w:rsid w:val="68A64366"/>
    <w:rsid w:val="690B1A1F"/>
    <w:rsid w:val="69230308"/>
    <w:rsid w:val="6A84256F"/>
    <w:rsid w:val="6B3C4F65"/>
    <w:rsid w:val="6C914EBA"/>
    <w:rsid w:val="6CE73215"/>
    <w:rsid w:val="6D633D24"/>
    <w:rsid w:val="6D73E947"/>
    <w:rsid w:val="6E0214E2"/>
    <w:rsid w:val="6E370DAF"/>
    <w:rsid w:val="6ED5329A"/>
    <w:rsid w:val="6EFB71EC"/>
    <w:rsid w:val="6F86252E"/>
    <w:rsid w:val="6FAFA6E3"/>
    <w:rsid w:val="6FCA008A"/>
    <w:rsid w:val="6FEF7AFD"/>
    <w:rsid w:val="70090B4B"/>
    <w:rsid w:val="70311D26"/>
    <w:rsid w:val="70F51137"/>
    <w:rsid w:val="71932A3F"/>
    <w:rsid w:val="73B267F9"/>
    <w:rsid w:val="73F339AB"/>
    <w:rsid w:val="74BF089A"/>
    <w:rsid w:val="74DDBEC1"/>
    <w:rsid w:val="74F72320"/>
    <w:rsid w:val="767B57D6"/>
    <w:rsid w:val="769D333E"/>
    <w:rsid w:val="76BC0B0B"/>
    <w:rsid w:val="777DC63B"/>
    <w:rsid w:val="77BDD260"/>
    <w:rsid w:val="77FAF11E"/>
    <w:rsid w:val="787858A7"/>
    <w:rsid w:val="78D5154B"/>
    <w:rsid w:val="791463DE"/>
    <w:rsid w:val="791A047B"/>
    <w:rsid w:val="79F92F70"/>
    <w:rsid w:val="7A025C91"/>
    <w:rsid w:val="7AFF274E"/>
    <w:rsid w:val="7B2DA16A"/>
    <w:rsid w:val="7B371484"/>
    <w:rsid w:val="7B9E3E77"/>
    <w:rsid w:val="7BDB45B2"/>
    <w:rsid w:val="7BF62DBA"/>
    <w:rsid w:val="7BFFE83F"/>
    <w:rsid w:val="7C676193"/>
    <w:rsid w:val="7C787096"/>
    <w:rsid w:val="7CFF09CB"/>
    <w:rsid w:val="7CFFAA96"/>
    <w:rsid w:val="7D5585FF"/>
    <w:rsid w:val="7DDF1873"/>
    <w:rsid w:val="7DF8A4BB"/>
    <w:rsid w:val="7E1E2063"/>
    <w:rsid w:val="7E460B8F"/>
    <w:rsid w:val="7E704638"/>
    <w:rsid w:val="7EF7E1BF"/>
    <w:rsid w:val="7EF7F29C"/>
    <w:rsid w:val="7F3E88B4"/>
    <w:rsid w:val="7F6FC0CD"/>
    <w:rsid w:val="7F7FAC3C"/>
    <w:rsid w:val="7F9F4002"/>
    <w:rsid w:val="7FCE58DD"/>
    <w:rsid w:val="7FDFC577"/>
    <w:rsid w:val="7FEF99D8"/>
    <w:rsid w:val="7FFBA3CF"/>
    <w:rsid w:val="8BFE336A"/>
    <w:rsid w:val="8CA7CC15"/>
    <w:rsid w:val="AFFC6F7D"/>
    <w:rsid w:val="B33BA6AD"/>
    <w:rsid w:val="B35FA1C4"/>
    <w:rsid w:val="BBFB2731"/>
    <w:rsid w:val="BCEF484D"/>
    <w:rsid w:val="BEE9F443"/>
    <w:rsid w:val="C3DE78BE"/>
    <w:rsid w:val="CFFF23D8"/>
    <w:rsid w:val="D7FB6791"/>
    <w:rsid w:val="D9FF09DF"/>
    <w:rsid w:val="DB1F5037"/>
    <w:rsid w:val="DC7FA00E"/>
    <w:rsid w:val="DFF7A88F"/>
    <w:rsid w:val="E6EB2A8D"/>
    <w:rsid w:val="E9E7DFC9"/>
    <w:rsid w:val="EAFD1F45"/>
    <w:rsid w:val="EDA54063"/>
    <w:rsid w:val="EDDAA5E2"/>
    <w:rsid w:val="EE6781F1"/>
    <w:rsid w:val="EEBDAAC6"/>
    <w:rsid w:val="EEC9FB65"/>
    <w:rsid w:val="EF7759AF"/>
    <w:rsid w:val="EFBFFB39"/>
    <w:rsid w:val="EFCD569F"/>
    <w:rsid w:val="F65D3036"/>
    <w:rsid w:val="F6CD6986"/>
    <w:rsid w:val="F6CE76A6"/>
    <w:rsid w:val="F7BCEFEC"/>
    <w:rsid w:val="F7DF9B42"/>
    <w:rsid w:val="FBFF05A6"/>
    <w:rsid w:val="FD7DA0B9"/>
    <w:rsid w:val="FDEC1702"/>
    <w:rsid w:val="FDEF7168"/>
    <w:rsid w:val="FDFF9ABC"/>
    <w:rsid w:val="FF7FFBE3"/>
    <w:rsid w:val="FFEF4ACC"/>
    <w:rsid w:val="FFF042C1"/>
    <w:rsid w:val="FFF5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/>
    <w:lsdException w:qFormat="1" w:unhideWhenUsed="0" w:uiPriority="99" w:name="toc 2"/>
    <w:lsdException w:qFormat="1" w:uiPriority="39" w:semiHidden="0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iPriority="99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qFormat="1" w:unhideWhenUsed="0" w:uiPriority="99" w:name="table of authorities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qFormat="1" w:unhideWhenUsed="0" w:uiPriority="0" w:semiHidden="0" w:name="Body Text First Indent"/>
    <w:lsdException w:qFormat="1" w:unhideWhenUsed="0" w:uiPriority="99" w:semiHidden="0" w:name="Body Text First Indent 2"/>
    <w:lsdException w:uiPriority="99" w:name="Note Heading" w:locked="1"/>
    <w:lsdException w:qFormat="1" w:unhideWhenUsed="0" w:uiPriority="0" w:semiHidden="0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iPriority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smallCaps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link w:val="39"/>
    <w:qFormat/>
    <w:uiPriority w:val="99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smallCaps w:val="0"/>
      <w:kern w:val="44"/>
      <w:sz w:val="44"/>
      <w:szCs w:val="44"/>
    </w:rPr>
  </w:style>
  <w:style w:type="paragraph" w:styleId="5">
    <w:name w:val="heading 2"/>
    <w:basedOn w:val="1"/>
    <w:next w:val="1"/>
    <w:link w:val="40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 w:cs="Arial"/>
      <w:b/>
      <w:bCs/>
      <w:smallCaps w:val="0"/>
      <w:kern w:val="0"/>
    </w:rPr>
  </w:style>
  <w:style w:type="paragraph" w:styleId="6">
    <w:name w:val="heading 3"/>
    <w:basedOn w:val="1"/>
    <w:next w:val="1"/>
    <w:link w:val="41"/>
    <w:qFormat/>
    <w:uiPriority w:val="99"/>
    <w:pPr>
      <w:widowControl/>
      <w:autoSpaceDE w:val="0"/>
      <w:autoSpaceDN w:val="0"/>
      <w:jc w:val="left"/>
      <w:outlineLvl w:val="2"/>
    </w:pPr>
    <w:rPr>
      <w:rFonts w:ascii="黑体" w:hAnsi="黑体" w:eastAsia="黑体" w:cs="黑体"/>
      <w:smallCaps w:val="0"/>
      <w:kern w:val="0"/>
      <w:sz w:val="20"/>
      <w:szCs w:val="20"/>
    </w:rPr>
  </w:style>
  <w:style w:type="paragraph" w:styleId="7">
    <w:name w:val="heading 4"/>
    <w:basedOn w:val="1"/>
    <w:next w:val="1"/>
    <w:link w:val="42"/>
    <w:qFormat/>
    <w:uiPriority w:val="99"/>
    <w:pPr>
      <w:keepLines/>
      <w:widowControl/>
      <w:numPr>
        <w:ilvl w:val="0"/>
        <w:numId w:val="1"/>
      </w:numPr>
      <w:autoSpaceDE w:val="0"/>
      <w:autoSpaceDN w:val="0"/>
      <w:ind w:firstLine="640"/>
      <w:jc w:val="left"/>
      <w:outlineLvl w:val="3"/>
    </w:pPr>
    <w:rPr>
      <w:rFonts w:ascii="仿宋_GB2312" w:hAnsi="仿宋_GB2312" w:cs="仿宋_GB2312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qFormat/>
    <w:uiPriority w:val="0"/>
    <w:pPr>
      <w:ind w:left="1559" w:leftChars="171" w:hanging="1200" w:hangingChars="500"/>
    </w:pPr>
    <w:rPr>
      <w:rFonts w:ascii="宋体" w:hAnsi="宋体"/>
      <w:sz w:val="24"/>
    </w:rPr>
  </w:style>
  <w:style w:type="paragraph" w:styleId="8">
    <w:name w:val="table of authorities"/>
    <w:basedOn w:val="1"/>
    <w:next w:val="1"/>
    <w:semiHidden/>
    <w:qFormat/>
    <w:uiPriority w:val="99"/>
    <w:pPr>
      <w:spacing w:line="360" w:lineRule="auto"/>
      <w:ind w:left="420" w:leftChars="200" w:firstLine="200" w:firstLineChars="200"/>
    </w:pPr>
    <w:rPr>
      <w:rFonts w:eastAsia="仿宋"/>
      <w:sz w:val="30"/>
      <w:szCs w:val="30"/>
    </w:rPr>
  </w:style>
  <w:style w:type="paragraph" w:styleId="9">
    <w:name w:val="Normal Indent"/>
    <w:basedOn w:val="1"/>
    <w:unhideWhenUsed/>
    <w:qFormat/>
    <w:locked/>
    <w:uiPriority w:val="99"/>
    <w:pPr>
      <w:ind w:firstLine="420"/>
    </w:pPr>
    <w:rPr>
      <w:szCs w:val="20"/>
    </w:rPr>
  </w:style>
  <w:style w:type="paragraph" w:styleId="10">
    <w:name w:val="Body Text"/>
    <w:basedOn w:val="1"/>
    <w:next w:val="11"/>
    <w:link w:val="43"/>
    <w:qFormat/>
    <w:uiPriority w:val="99"/>
  </w:style>
  <w:style w:type="paragraph" w:styleId="11">
    <w:name w:val="Body Text 2"/>
    <w:basedOn w:val="1"/>
    <w:qFormat/>
    <w:locked/>
    <w:uiPriority w:val="0"/>
    <w:pPr>
      <w:spacing w:after="120" w:line="480" w:lineRule="auto"/>
    </w:pPr>
    <w:rPr>
      <w:rFonts w:cs="宋体"/>
      <w:szCs w:val="22"/>
    </w:rPr>
  </w:style>
  <w:style w:type="paragraph" w:styleId="12">
    <w:name w:val="Body Text Indent"/>
    <w:basedOn w:val="1"/>
    <w:link w:val="44"/>
    <w:qFormat/>
    <w:uiPriority w:val="99"/>
    <w:pPr>
      <w:ind w:left="420" w:leftChars="200"/>
    </w:pPr>
  </w:style>
  <w:style w:type="paragraph" w:styleId="13">
    <w:name w:val="toc 3"/>
    <w:basedOn w:val="1"/>
    <w:next w:val="1"/>
    <w:unhideWhenUsed/>
    <w:qFormat/>
    <w:locked/>
    <w:uiPriority w:val="39"/>
    <w:pPr>
      <w:ind w:left="840" w:leftChars="400"/>
    </w:pPr>
  </w:style>
  <w:style w:type="paragraph" w:styleId="14">
    <w:name w:val="Balloon Text"/>
    <w:basedOn w:val="1"/>
    <w:link w:val="64"/>
    <w:semiHidden/>
    <w:qFormat/>
    <w:uiPriority w:val="99"/>
    <w:rPr>
      <w:sz w:val="18"/>
      <w:szCs w:val="18"/>
    </w:rPr>
  </w:style>
  <w:style w:type="paragraph" w:styleId="15">
    <w:name w:val="footer"/>
    <w:basedOn w:val="1"/>
    <w:link w:val="4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6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semiHidden/>
    <w:qFormat/>
    <w:uiPriority w:val="99"/>
  </w:style>
  <w:style w:type="paragraph" w:styleId="18">
    <w:name w:val="toc 2"/>
    <w:basedOn w:val="1"/>
    <w:next w:val="1"/>
    <w:semiHidden/>
    <w:qFormat/>
    <w:uiPriority w:val="99"/>
    <w:pPr>
      <w:ind w:left="420" w:leftChars="200"/>
    </w:pPr>
  </w:style>
  <w:style w:type="paragraph" w:styleId="19">
    <w:name w:val="HTML Preformatted"/>
    <w:basedOn w:val="1"/>
    <w:link w:val="46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Title"/>
    <w:basedOn w:val="1"/>
    <w:next w:val="1"/>
    <w:link w:val="47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</w:rPr>
  </w:style>
  <w:style w:type="paragraph" w:styleId="22">
    <w:name w:val="Body Text First Indent"/>
    <w:basedOn w:val="10"/>
    <w:next w:val="9"/>
    <w:qFormat/>
    <w:uiPriority w:val="0"/>
    <w:pPr>
      <w:ind w:firstLine="420"/>
    </w:pPr>
  </w:style>
  <w:style w:type="paragraph" w:styleId="23">
    <w:name w:val="Body Text First Indent 2"/>
    <w:basedOn w:val="12"/>
    <w:link w:val="49"/>
    <w:qFormat/>
    <w:uiPriority w:val="99"/>
    <w:pPr>
      <w:ind w:firstLine="420" w:firstLineChars="200"/>
    </w:pPr>
  </w:style>
  <w:style w:type="table" w:styleId="25">
    <w:name w:val="Table Grid"/>
    <w:basedOn w:val="24"/>
    <w:semiHidden/>
    <w:unhideWhenUsed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basedOn w:val="26"/>
    <w:qFormat/>
    <w:locked/>
    <w:uiPriority w:val="22"/>
    <w:rPr>
      <w:b/>
    </w:rPr>
  </w:style>
  <w:style w:type="character" w:styleId="28">
    <w:name w:val="page number"/>
    <w:basedOn w:val="26"/>
    <w:qFormat/>
    <w:locked/>
    <w:uiPriority w:val="0"/>
  </w:style>
  <w:style w:type="character" w:styleId="29">
    <w:name w:val="Emphasis"/>
    <w:basedOn w:val="26"/>
    <w:qFormat/>
    <w:uiPriority w:val="99"/>
    <w:rPr>
      <w:i/>
      <w:iCs/>
    </w:rPr>
  </w:style>
  <w:style w:type="character" w:styleId="30">
    <w:name w:val="Hyperlink"/>
    <w:basedOn w:val="26"/>
    <w:qFormat/>
    <w:uiPriority w:val="99"/>
    <w:rPr>
      <w:color w:val="0000FF"/>
      <w:u w:val="single"/>
    </w:rPr>
  </w:style>
  <w:style w:type="paragraph" w:customStyle="1" w:styleId="31">
    <w:name w:val="Body Text First Indent"/>
    <w:basedOn w:val="10"/>
    <w:qFormat/>
    <w:uiPriority w:val="0"/>
    <w:pPr>
      <w:ind w:firstLine="420" w:firstLineChars="100"/>
    </w:pPr>
  </w:style>
  <w:style w:type="paragraph" w:customStyle="1" w:styleId="32">
    <w:name w:val="Body Text First Indent1"/>
    <w:basedOn w:val="10"/>
    <w:qFormat/>
    <w:uiPriority w:val="0"/>
    <w:pPr>
      <w:ind w:firstLine="420" w:firstLineChars="100"/>
    </w:pPr>
  </w:style>
  <w:style w:type="paragraph" w:customStyle="1" w:styleId="33">
    <w:name w:val="Body Text First Indent 21"/>
    <w:basedOn w:val="34"/>
    <w:qFormat/>
    <w:uiPriority w:val="0"/>
    <w:pPr>
      <w:spacing w:line="360" w:lineRule="auto"/>
    </w:pPr>
    <w:rPr>
      <w:sz w:val="24"/>
    </w:rPr>
  </w:style>
  <w:style w:type="paragraph" w:customStyle="1" w:styleId="34">
    <w:name w:val="Body Text Indent1"/>
    <w:basedOn w:val="1"/>
    <w:qFormat/>
    <w:uiPriority w:val="0"/>
    <w:pPr>
      <w:spacing w:line="150" w:lineRule="atLeast"/>
      <w:ind w:firstLine="420" w:firstLineChars="200"/>
      <w:textAlignment w:val="baseline"/>
    </w:pPr>
    <w:rPr>
      <w:rFonts w:ascii="Times New Roman" w:hAnsi="Times New Roman" w:cs="Times New Roman"/>
      <w:szCs w:val="24"/>
    </w:rPr>
  </w:style>
  <w:style w:type="paragraph" w:customStyle="1" w:styleId="35">
    <w:name w:val="引文目录1"/>
    <w:basedOn w:val="1"/>
    <w:next w:val="1"/>
    <w:qFormat/>
    <w:uiPriority w:val="0"/>
    <w:pPr>
      <w:ind w:left="420" w:leftChars="200"/>
    </w:pPr>
  </w:style>
  <w:style w:type="paragraph" w:customStyle="1" w:styleId="36">
    <w:name w:val="正文首行缩进 21"/>
    <w:basedOn w:val="37"/>
    <w:qFormat/>
    <w:uiPriority w:val="0"/>
    <w:pPr>
      <w:ind w:firstLine="420" w:firstLineChars="200"/>
    </w:pPr>
  </w:style>
  <w:style w:type="paragraph" w:customStyle="1" w:styleId="37">
    <w:name w:val="正文文本缩进1"/>
    <w:basedOn w:val="1"/>
    <w:next w:val="38"/>
    <w:qFormat/>
    <w:uiPriority w:val="0"/>
    <w:pPr>
      <w:ind w:left="420" w:leftChars="200"/>
    </w:pPr>
    <w:rPr>
      <w:rFonts w:ascii="Times New Roman" w:hAnsi="Times New Roman" w:cs="Times New Roman"/>
    </w:rPr>
  </w:style>
  <w:style w:type="paragraph" w:customStyle="1" w:styleId="38">
    <w:name w:val="正文缩进1"/>
    <w:basedOn w:val="1"/>
    <w:qFormat/>
    <w:uiPriority w:val="0"/>
    <w:pPr>
      <w:ind w:firstLine="420"/>
    </w:pPr>
    <w:rPr>
      <w:rFonts w:eastAsia="仿宋"/>
    </w:rPr>
  </w:style>
  <w:style w:type="character" w:customStyle="1" w:styleId="39">
    <w:name w:val="标题 1 字符"/>
    <w:basedOn w:val="26"/>
    <w:link w:val="4"/>
    <w:qFormat/>
    <w:locked/>
    <w:uiPriority w:val="99"/>
    <w:rPr>
      <w:b/>
      <w:bCs/>
      <w:kern w:val="44"/>
      <w:sz w:val="44"/>
      <w:szCs w:val="44"/>
    </w:rPr>
  </w:style>
  <w:style w:type="character" w:customStyle="1" w:styleId="40">
    <w:name w:val="标题 2 字符"/>
    <w:basedOn w:val="26"/>
    <w:link w:val="5"/>
    <w:qFormat/>
    <w:locked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41">
    <w:name w:val="标题 3 字符"/>
    <w:basedOn w:val="26"/>
    <w:link w:val="6"/>
    <w:qFormat/>
    <w:locked/>
    <w:uiPriority w:val="99"/>
    <w:rPr>
      <w:rFonts w:ascii="黑体" w:hAnsi="黑体" w:eastAsia="黑体" w:cs="黑体"/>
      <w:kern w:val="0"/>
      <w:sz w:val="27"/>
      <w:szCs w:val="27"/>
    </w:rPr>
  </w:style>
  <w:style w:type="character" w:customStyle="1" w:styleId="42">
    <w:name w:val="标题 4 字符"/>
    <w:basedOn w:val="26"/>
    <w:link w:val="7"/>
    <w:semiHidden/>
    <w:qFormat/>
    <w:locked/>
    <w:uiPriority w:val="99"/>
    <w:rPr>
      <w:rFonts w:ascii="Cambria" w:hAnsi="Cambria" w:eastAsia="宋体" w:cs="Cambria"/>
      <w:b/>
      <w:bCs/>
      <w:smallCaps/>
      <w:sz w:val="28"/>
      <w:szCs w:val="28"/>
    </w:rPr>
  </w:style>
  <w:style w:type="character" w:customStyle="1" w:styleId="43">
    <w:name w:val="正文文本 字符"/>
    <w:basedOn w:val="26"/>
    <w:link w:val="10"/>
    <w:semiHidden/>
    <w:qFormat/>
    <w:locked/>
    <w:uiPriority w:val="99"/>
    <w:rPr>
      <w:rFonts w:ascii="Calibri" w:hAnsi="Calibri" w:cs="Calibri"/>
      <w:smallCaps/>
      <w:sz w:val="32"/>
      <w:szCs w:val="32"/>
    </w:rPr>
  </w:style>
  <w:style w:type="character" w:customStyle="1" w:styleId="44">
    <w:name w:val="正文文本缩进 字符"/>
    <w:basedOn w:val="26"/>
    <w:link w:val="12"/>
    <w:semiHidden/>
    <w:qFormat/>
    <w:locked/>
    <w:uiPriority w:val="99"/>
    <w:rPr>
      <w:rFonts w:ascii="Calibri" w:hAnsi="Calibri" w:cs="Calibri"/>
      <w:smallCaps/>
      <w:sz w:val="32"/>
      <w:szCs w:val="32"/>
    </w:rPr>
  </w:style>
  <w:style w:type="character" w:customStyle="1" w:styleId="45">
    <w:name w:val="页脚 字符"/>
    <w:basedOn w:val="26"/>
    <w:link w:val="15"/>
    <w:semiHidden/>
    <w:qFormat/>
    <w:locked/>
    <w:uiPriority w:val="99"/>
    <w:rPr>
      <w:rFonts w:ascii="Calibri" w:hAnsi="Calibri" w:cs="Calibri"/>
      <w:smallCaps/>
      <w:sz w:val="18"/>
      <w:szCs w:val="18"/>
    </w:rPr>
  </w:style>
  <w:style w:type="character" w:customStyle="1" w:styleId="46">
    <w:name w:val="HTML 预设格式 字符"/>
    <w:basedOn w:val="26"/>
    <w:link w:val="19"/>
    <w:semiHidden/>
    <w:qFormat/>
    <w:locked/>
    <w:uiPriority w:val="99"/>
    <w:rPr>
      <w:rFonts w:ascii="Courier New" w:hAnsi="Courier New" w:cs="Courier New"/>
      <w:smallCaps/>
      <w:sz w:val="20"/>
      <w:szCs w:val="20"/>
    </w:rPr>
  </w:style>
  <w:style w:type="character" w:customStyle="1" w:styleId="47">
    <w:name w:val="标题 字符"/>
    <w:basedOn w:val="26"/>
    <w:link w:val="21"/>
    <w:qFormat/>
    <w:locked/>
    <w:uiPriority w:val="99"/>
    <w:rPr>
      <w:rFonts w:ascii="Cambria" w:hAnsi="Cambria" w:cs="Cambria"/>
      <w:b/>
      <w:bCs/>
      <w:smallCaps/>
      <w:sz w:val="32"/>
      <w:szCs w:val="32"/>
    </w:rPr>
  </w:style>
  <w:style w:type="character" w:customStyle="1" w:styleId="48">
    <w:name w:val="正文文本首行缩进 字符"/>
    <w:basedOn w:val="43"/>
    <w:semiHidden/>
    <w:qFormat/>
    <w:locked/>
    <w:uiPriority w:val="99"/>
    <w:rPr>
      <w:rFonts w:ascii="Calibri" w:hAnsi="Calibri" w:cs="Calibri"/>
      <w:sz w:val="32"/>
      <w:szCs w:val="32"/>
    </w:rPr>
  </w:style>
  <w:style w:type="character" w:customStyle="1" w:styleId="49">
    <w:name w:val="正文文本首行缩进 2 字符"/>
    <w:basedOn w:val="44"/>
    <w:link w:val="23"/>
    <w:semiHidden/>
    <w:qFormat/>
    <w:locked/>
    <w:uiPriority w:val="99"/>
    <w:rPr>
      <w:rFonts w:ascii="Calibri" w:hAnsi="Calibri" w:cs="Calibri"/>
      <w:sz w:val="32"/>
      <w:szCs w:val="32"/>
    </w:rPr>
  </w:style>
  <w:style w:type="paragraph" w:customStyle="1" w:styleId="50">
    <w:name w:val="Table of Authorities1"/>
    <w:basedOn w:val="1"/>
    <w:next w:val="1"/>
    <w:qFormat/>
    <w:uiPriority w:val="99"/>
    <w:pPr>
      <w:ind w:left="420" w:leftChars="200"/>
    </w:pPr>
  </w:style>
  <w:style w:type="paragraph" w:customStyle="1" w:styleId="5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customStyle="1" w:styleId="52">
    <w:name w:val="新正文"/>
    <w:basedOn w:val="1"/>
    <w:qFormat/>
    <w:uiPriority w:val="99"/>
    <w:pPr>
      <w:widowControl/>
      <w:spacing w:line="360" w:lineRule="auto"/>
      <w:ind w:firstLine="200" w:firstLineChars="200"/>
    </w:pPr>
    <w:rPr>
      <w:rFonts w:ascii="Times New Roman" w:hAnsi="Times New Roman" w:eastAsia="仿宋" w:cs="Times New Roman"/>
    </w:rPr>
  </w:style>
  <w:style w:type="character" w:customStyle="1" w:styleId="53">
    <w:name w:val="不明显强调1"/>
    <w:basedOn w:val="26"/>
    <w:qFormat/>
    <w:uiPriority w:val="99"/>
    <w:rPr>
      <w:i/>
      <w:iCs/>
      <w:color w:val="auto"/>
    </w:rPr>
  </w:style>
  <w:style w:type="paragraph" w:customStyle="1" w:styleId="54">
    <w:name w:val="No Spacing_ad81b47b-6779-4c76-b471-79375858c8cb"/>
    <w:basedOn w:val="1"/>
    <w:qFormat/>
    <w:uiPriority w:val="99"/>
    <w:pPr>
      <w:ind w:firstLine="200" w:firstLineChars="200"/>
    </w:pPr>
    <w:rPr>
      <w:rFonts w:ascii="Cambria" w:hAnsi="Cambria" w:cs="Cambria"/>
      <w:sz w:val="24"/>
      <w:szCs w:val="24"/>
    </w:rPr>
  </w:style>
  <w:style w:type="character" w:customStyle="1" w:styleId="55">
    <w:name w:val="font122"/>
    <w:qFormat/>
    <w:uiPriority w:val="99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56">
    <w:name w:val="font111"/>
    <w:qFormat/>
    <w:uiPriority w:val="99"/>
    <w:rPr>
      <w:rFonts w:ascii="仿宋_GB2312" w:eastAsia="仿宋_GB2312" w:cs="仿宋_GB2312"/>
      <w:color w:val="000000"/>
      <w:sz w:val="16"/>
      <w:szCs w:val="16"/>
      <w:u w:val="none"/>
    </w:rPr>
  </w:style>
  <w:style w:type="paragraph" w:customStyle="1" w:styleId="57">
    <w:name w:val="三级"/>
    <w:basedOn w:val="1"/>
    <w:qFormat/>
    <w:uiPriority w:val="99"/>
    <w:pPr>
      <w:widowControl/>
      <w:spacing w:line="360" w:lineRule="auto"/>
      <w:ind w:firstLine="562" w:firstLineChars="200"/>
      <w:jc w:val="left"/>
      <w:outlineLvl w:val="2"/>
    </w:pPr>
    <w:rPr>
      <w:rFonts w:ascii="Times New Roman" w:hAnsi="Times New Roman" w:eastAsia="仿宋" w:cs="Times New Roman"/>
      <w:b/>
      <w:bCs/>
    </w:rPr>
  </w:style>
  <w:style w:type="paragraph" w:customStyle="1" w:styleId="58">
    <w:name w:val="专栏"/>
    <w:basedOn w:val="1"/>
    <w:qFormat/>
    <w:uiPriority w:val="99"/>
    <w:pPr>
      <w:spacing w:beforeLines="50" w:line="300" w:lineRule="exact"/>
    </w:pPr>
    <w:rPr>
      <w:rFonts w:eastAsia="仿宋_GB2312"/>
      <w:kern w:val="0"/>
      <w:sz w:val="24"/>
      <w:szCs w:val="24"/>
    </w:rPr>
  </w:style>
  <w:style w:type="character" w:customStyle="1" w:styleId="59">
    <w:name w:val="UserStyle_0"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/>
    </w:rPr>
  </w:style>
  <w:style w:type="character" w:customStyle="1" w:styleId="60">
    <w:name w:val="NormalCharacter"/>
    <w:qFormat/>
    <w:uiPriority w:val="99"/>
  </w:style>
  <w:style w:type="paragraph" w:customStyle="1" w:styleId="61">
    <w:name w:val="UserStyle_3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paragraph" w:customStyle="1" w:styleId="62">
    <w:name w:val="Heading1"/>
    <w:basedOn w:val="1"/>
    <w:qFormat/>
    <w:uiPriority w:val="99"/>
    <w:pPr>
      <w:spacing w:beforeAutospacing="1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63">
    <w:name w:val="页眉 字符"/>
    <w:basedOn w:val="26"/>
    <w:link w:val="16"/>
    <w:semiHidden/>
    <w:qFormat/>
    <w:locked/>
    <w:uiPriority w:val="99"/>
    <w:rPr>
      <w:rFonts w:ascii="Calibri" w:hAnsi="Calibri" w:cs="Calibri"/>
      <w:smallCaps/>
      <w:sz w:val="18"/>
      <w:szCs w:val="18"/>
    </w:rPr>
  </w:style>
  <w:style w:type="character" w:customStyle="1" w:styleId="64">
    <w:name w:val="批注框文本 字符"/>
    <w:basedOn w:val="26"/>
    <w:link w:val="14"/>
    <w:semiHidden/>
    <w:qFormat/>
    <w:locked/>
    <w:uiPriority w:val="99"/>
    <w:rPr>
      <w:rFonts w:ascii="Calibri" w:hAnsi="Calibri" w:cs="Calibri"/>
      <w:smallCaps/>
      <w:sz w:val="2"/>
      <w:szCs w:val="2"/>
    </w:rPr>
  </w:style>
  <w:style w:type="character" w:customStyle="1" w:styleId="65">
    <w:name w:val="fontstyle01"/>
    <w:basedOn w:val="26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66">
    <w:name w:val="table of authorities1"/>
    <w:basedOn w:val="1"/>
    <w:next w:val="1"/>
    <w:qFormat/>
    <w:uiPriority w:val="0"/>
    <w:pPr>
      <w:ind w:left="420" w:leftChars="200"/>
    </w:pPr>
  </w:style>
  <w:style w:type="paragraph" w:customStyle="1" w:styleId="6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68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69">
    <w:name w:val="font31"/>
    <w:basedOn w:val="26"/>
    <w:qFormat/>
    <w:uiPriority w:val="0"/>
    <w:rPr>
      <w:rFonts w:hint="default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70">
    <w:name w:val="font71"/>
    <w:basedOn w:val="26"/>
    <w:qFormat/>
    <w:uiPriority w:val="0"/>
    <w:rPr>
      <w:rFonts w:hint="default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71">
    <w:name w:val="font121"/>
    <w:basedOn w:val="26"/>
    <w:qFormat/>
    <w:uiPriority w:val="0"/>
    <w:rPr>
      <w:rFonts w:hint="default" w:ascii="仿宋" w:hAnsi="仿宋" w:eastAsia="仿宋" w:cs="仿宋"/>
      <w:b/>
      <w:color w:val="000000"/>
      <w:sz w:val="28"/>
      <w:szCs w:val="28"/>
      <w:u w:val="none"/>
    </w:rPr>
  </w:style>
  <w:style w:type="character" w:customStyle="1" w:styleId="72">
    <w:name w:val="font21"/>
    <w:basedOn w:val="2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3">
    <w:name w:val="font11"/>
    <w:basedOn w:val="2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4">
    <w:name w:val="font41"/>
    <w:basedOn w:val="26"/>
    <w:qFormat/>
    <w:uiPriority w:val="0"/>
    <w:rPr>
      <w:rFonts w:hint="default" w:ascii="仿宋" w:hAnsi="仿宋" w:eastAsia="仿宋" w:cs="仿宋"/>
      <w:color w:val="000000"/>
      <w:sz w:val="24"/>
      <w:szCs w:val="24"/>
      <w:u w:val="none"/>
    </w:rPr>
  </w:style>
  <w:style w:type="character" w:customStyle="1" w:styleId="75">
    <w:name w:val="font01"/>
    <w:basedOn w:val="26"/>
    <w:qFormat/>
    <w:uiPriority w:val="0"/>
    <w:rPr>
      <w:rFonts w:hint="default" w:ascii="仿宋" w:hAnsi="仿宋" w:eastAsia="仿宋" w:cs="仿宋"/>
      <w:color w:val="000000"/>
      <w:sz w:val="28"/>
      <w:szCs w:val="28"/>
      <w:u w:val="none"/>
    </w:rPr>
  </w:style>
  <w:style w:type="paragraph" w:customStyle="1" w:styleId="76">
    <w:name w:val="正文文本首行缩进1"/>
    <w:basedOn w:val="10"/>
    <w:qFormat/>
    <w:uiPriority w:val="0"/>
    <w:pPr>
      <w:ind w:firstLine="420" w:firstLineChars="100"/>
    </w:pPr>
  </w:style>
  <w:style w:type="paragraph" w:customStyle="1" w:styleId="77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28</Pages>
  <Words>14816</Words>
  <Characters>15269</Characters>
  <Lines>147</Lines>
  <Paragraphs>41</Paragraphs>
  <TotalTime>8</TotalTime>
  <ScaleCrop>false</ScaleCrop>
  <LinksUpToDate>false</LinksUpToDate>
  <CharactersWithSpaces>16940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2022-06-16T14:12:00Z</dcterms:created>
  <dc:creator>HUAWEI</dc:creator>
  <cp:lastModifiedBy>baixin</cp:lastModifiedBy>
  <cp:lastPrinted>2022-06-28T21:20:00Z</cp:lastPrinted>
  <dcterms:modified xsi:type="dcterms:W3CDTF">2022-08-03T16:12:20Z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A3D2D96A31CD429E8E1AD07A7AF833D6</vt:lpwstr>
  </property>
</Properties>
</file>